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520"/>
      </w:tblGrid>
      <w:tr w:rsidR="00C826F9" w:rsidTr="00C11F64">
        <w:trPr>
          <w:trHeight w:hRule="exact" w:val="3686"/>
        </w:trPr>
        <w:tc>
          <w:tcPr>
            <w:tcW w:w="6520" w:type="dxa"/>
            <w:tcMar>
              <w:top w:w="0" w:type="dxa"/>
              <w:bottom w:w="0" w:type="dxa"/>
            </w:tcMar>
            <w:vAlign w:val="bottom"/>
          </w:tcPr>
          <w:p w:rsidR="00C826F9" w:rsidRPr="00F011BA" w:rsidRDefault="008F09D4" w:rsidP="00C11F64">
            <w:pPr>
              <w:pStyle w:val="Title"/>
            </w:pPr>
            <w:r>
              <w:t xml:space="preserve">The OIA </w:t>
            </w:r>
            <w:r w:rsidR="008E3DC1">
              <w:t>and inquiries</w:t>
            </w:r>
          </w:p>
          <w:p w:rsidR="00C826F9" w:rsidRPr="00F011BA" w:rsidRDefault="008E3DC1" w:rsidP="00F011BA">
            <w:pPr>
              <w:pStyle w:val="Subheading"/>
            </w:pPr>
            <w:r>
              <w:t>The interaction between the OIA and the Inquiries Act</w:t>
            </w:r>
            <w:r w:rsidR="000E2004">
              <w:t xml:space="preserve"> 2013</w:t>
            </w:r>
          </w:p>
        </w:tc>
      </w:tr>
      <w:tr w:rsidR="00F011BA" w:rsidTr="00252AA7">
        <w:trPr>
          <w:trHeight w:hRule="exact" w:val="1098"/>
        </w:trPr>
        <w:tc>
          <w:tcPr>
            <w:tcW w:w="6520" w:type="dxa"/>
            <w:tcBorders>
              <w:bottom w:val="nil"/>
            </w:tcBorders>
          </w:tcPr>
          <w:p w:rsidR="00F011BA" w:rsidRDefault="00F011BA" w:rsidP="00F011BA">
            <w:pPr>
              <w:pStyle w:val="Subheading"/>
            </w:pPr>
          </w:p>
        </w:tc>
      </w:tr>
    </w:tbl>
    <w:p w:rsidR="008627E0" w:rsidRDefault="006F27C8" w:rsidP="00C11F64">
      <w:pPr>
        <w:pStyle w:val="Introduction"/>
      </w:pPr>
      <w:r>
        <w:t xml:space="preserve">This guide aims to answer questions about how the Inquiries Act </w:t>
      </w:r>
      <w:r w:rsidR="008627E0">
        <w:t xml:space="preserve">2013 </w:t>
      </w:r>
      <w:r>
        <w:t xml:space="preserve">interacts with the </w:t>
      </w:r>
      <w:r w:rsidR="008627E0">
        <w:t>Official Information Act 1982 (OIA)</w:t>
      </w:r>
      <w:r>
        <w:t>.</w:t>
      </w:r>
      <w:r w:rsidR="00FE2F7F">
        <w:t xml:space="preserve"> </w:t>
      </w:r>
    </w:p>
    <w:p w:rsidR="006F27C8" w:rsidRDefault="006F27C8" w:rsidP="00C11F64">
      <w:pPr>
        <w:pStyle w:val="Introduction"/>
      </w:pPr>
      <w:r>
        <w:t>It is intended to help:</w:t>
      </w:r>
    </w:p>
    <w:p w:rsidR="006F27C8" w:rsidRDefault="006F27C8" w:rsidP="006F27C8">
      <w:pPr>
        <w:pStyle w:val="Introductionbullet1"/>
      </w:pPr>
      <w:r>
        <w:t>inquiries deciding how to regulate their procedure;</w:t>
      </w:r>
    </w:p>
    <w:p w:rsidR="006F27C8" w:rsidRDefault="006F27C8" w:rsidP="006F27C8">
      <w:pPr>
        <w:pStyle w:val="Introductionbullet1"/>
      </w:pPr>
      <w:r>
        <w:t xml:space="preserve">agencies </w:t>
      </w:r>
      <w:r w:rsidR="003019C3">
        <w:t xml:space="preserve">dealing with </w:t>
      </w:r>
      <w:r>
        <w:t>OIA requests</w:t>
      </w:r>
      <w:r w:rsidR="003019C3">
        <w:t xml:space="preserve"> for information about </w:t>
      </w:r>
      <w:r w:rsidR="00204338">
        <w:t xml:space="preserve">the subject </w:t>
      </w:r>
      <w:r w:rsidR="000571A7">
        <w:t>o</w:t>
      </w:r>
      <w:r w:rsidR="00204338">
        <w:t>f an inquiry</w:t>
      </w:r>
      <w:r>
        <w:t>; and</w:t>
      </w:r>
    </w:p>
    <w:p w:rsidR="006F27C8" w:rsidRDefault="006F27C8" w:rsidP="006F27C8">
      <w:pPr>
        <w:pStyle w:val="Introductionbullet1"/>
      </w:pPr>
      <w:r>
        <w:t xml:space="preserve">members of the public </w:t>
      </w:r>
      <w:r w:rsidR="003019C3">
        <w:t xml:space="preserve">seeking </w:t>
      </w:r>
      <w:r>
        <w:t>information about inquiries.</w:t>
      </w:r>
    </w:p>
    <w:p w:rsidR="007408D6" w:rsidRDefault="007408D6" w:rsidP="008627E0">
      <w:pPr>
        <w:pStyle w:val="Introduction"/>
        <w:rPr>
          <w:b/>
        </w:rPr>
      </w:pPr>
      <w:bookmarkStart w:id="0" w:name="GoToContents"/>
      <w:bookmarkStart w:id="1" w:name="TOCSection"/>
      <w:r>
        <w:t>This guide is only</w:t>
      </w:r>
      <w:r w:rsidR="008F6E1F">
        <w:t xml:space="preserve"> about Inquiries Act inquiries, </w:t>
      </w:r>
      <w:r>
        <w:t>not other type</w:t>
      </w:r>
      <w:r w:rsidR="008F6E1F">
        <w:t>s of inquiry</w:t>
      </w:r>
      <w:r w:rsidR="001A093F">
        <w:t>,</w:t>
      </w:r>
      <w:r w:rsidR="008F6E1F">
        <w:t xml:space="preserve"> like Auditor-General inquiries, Parliamentary inquiries or internal agency inquiries.</w:t>
      </w:r>
    </w:p>
    <w:p w:rsidR="0078238C" w:rsidRPr="00FE2F7F" w:rsidRDefault="0078238C" w:rsidP="008F6E1F">
      <w:pPr>
        <w:pStyle w:val="Introductionbullet1"/>
        <w:numPr>
          <w:ilvl w:val="0"/>
          <w:numId w:val="0"/>
        </w:numPr>
        <w:ind w:left="567" w:hanging="567"/>
      </w:pPr>
      <w:r>
        <w:br w:type="page"/>
      </w:r>
    </w:p>
    <w:p w:rsidR="00A5640F" w:rsidRDefault="00A5640F" w:rsidP="00A52ECE">
      <w:pPr>
        <w:pStyle w:val="TOCHeading"/>
        <w:spacing w:before="480"/>
      </w:pPr>
      <w:r>
        <w:lastRenderedPageBreak/>
        <w:t>Contents</w:t>
      </w:r>
      <w:bookmarkEnd w:id="0"/>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Pr>
      <w:tblGrid>
        <w:gridCol w:w="9354"/>
      </w:tblGrid>
      <w:tr w:rsidR="00A5640F" w:rsidTr="006A5A35">
        <w:tc>
          <w:tcPr>
            <w:tcW w:w="9354" w:type="dxa"/>
          </w:tcPr>
          <w:bookmarkStart w:id="2" w:name="TOCMain" w:colFirst="0" w:colLast="0"/>
          <w:p w:rsidR="006B156E" w:rsidRDefault="00A5640F">
            <w:pPr>
              <w:pStyle w:val="TOC1"/>
              <w:rPr>
                <w:rFonts w:asciiTheme="minorHAnsi" w:eastAsiaTheme="minorEastAsia" w:hAnsiTheme="minorHAnsi"/>
                <w:b w:val="0"/>
                <w:noProof/>
                <w:color w:val="auto"/>
                <w:sz w:val="22"/>
                <w:lang w:eastAsia="en-NZ"/>
              </w:rPr>
            </w:pPr>
            <w:r>
              <w:rPr>
                <w:color w:val="2BB673"/>
              </w:rPr>
              <w:fldChar w:fldCharType="begin"/>
            </w:r>
            <w:r w:rsidR="00536D19">
              <w:instrText xml:space="preserve"> TOC \o "1-2</w:instrText>
            </w:r>
            <w:r>
              <w:instrText xml:space="preserve">" \h \z \t "Heading Appendix, 1" </w:instrText>
            </w:r>
            <w:r>
              <w:rPr>
                <w:color w:val="2BB673"/>
              </w:rPr>
              <w:fldChar w:fldCharType="separate"/>
            </w:r>
            <w:hyperlink w:anchor="_Toc48123833" w:history="1">
              <w:r w:rsidR="006B156E" w:rsidRPr="00596FFC">
                <w:rPr>
                  <w:rStyle w:val="Hyperlink"/>
                  <w:noProof/>
                </w:rPr>
                <w:t>Introduction</w:t>
              </w:r>
              <w:r w:rsidR="006B156E">
                <w:rPr>
                  <w:noProof/>
                  <w:webHidden/>
                </w:rPr>
                <w:tab/>
              </w:r>
              <w:r w:rsidR="006B156E">
                <w:rPr>
                  <w:noProof/>
                  <w:webHidden/>
                </w:rPr>
                <w:fldChar w:fldCharType="begin"/>
              </w:r>
              <w:r w:rsidR="006B156E">
                <w:rPr>
                  <w:noProof/>
                  <w:webHidden/>
                </w:rPr>
                <w:instrText xml:space="preserve"> PAGEREF _Toc48123833 \h </w:instrText>
              </w:r>
              <w:r w:rsidR="006B156E">
                <w:rPr>
                  <w:noProof/>
                  <w:webHidden/>
                </w:rPr>
              </w:r>
              <w:r w:rsidR="006B156E">
                <w:rPr>
                  <w:noProof/>
                  <w:webHidden/>
                </w:rPr>
                <w:fldChar w:fldCharType="separate"/>
              </w:r>
              <w:r w:rsidR="003B7727">
                <w:rPr>
                  <w:noProof/>
                  <w:webHidden/>
                </w:rPr>
                <w:t>3</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34" w:history="1">
              <w:r w:rsidR="006B156E" w:rsidRPr="00596FFC">
                <w:rPr>
                  <w:rStyle w:val="Hyperlink"/>
                  <w:noProof/>
                </w:rPr>
                <w:t>Background to the Inquiries Act</w:t>
              </w:r>
              <w:r w:rsidR="006B156E">
                <w:rPr>
                  <w:noProof/>
                  <w:webHidden/>
                </w:rPr>
                <w:tab/>
              </w:r>
              <w:r w:rsidR="006B156E">
                <w:rPr>
                  <w:noProof/>
                  <w:webHidden/>
                </w:rPr>
                <w:fldChar w:fldCharType="begin"/>
              </w:r>
              <w:r w:rsidR="006B156E">
                <w:rPr>
                  <w:noProof/>
                  <w:webHidden/>
                </w:rPr>
                <w:instrText xml:space="preserve"> PAGEREF _Toc48123834 \h </w:instrText>
              </w:r>
              <w:r w:rsidR="006B156E">
                <w:rPr>
                  <w:noProof/>
                  <w:webHidden/>
                </w:rPr>
              </w:r>
              <w:r w:rsidR="006B156E">
                <w:rPr>
                  <w:noProof/>
                  <w:webHidden/>
                </w:rPr>
                <w:fldChar w:fldCharType="separate"/>
              </w:r>
              <w:r>
                <w:rPr>
                  <w:noProof/>
                  <w:webHidden/>
                </w:rPr>
                <w:t>3</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35" w:history="1">
              <w:r w:rsidR="006B156E" w:rsidRPr="00596FFC">
                <w:rPr>
                  <w:rStyle w:val="Hyperlink"/>
                  <w:noProof/>
                </w:rPr>
                <w:t>Key provisions of the Inquiries Act</w:t>
              </w:r>
              <w:r w:rsidR="006B156E">
                <w:rPr>
                  <w:noProof/>
                  <w:webHidden/>
                </w:rPr>
                <w:tab/>
              </w:r>
              <w:r w:rsidR="006B156E">
                <w:rPr>
                  <w:noProof/>
                  <w:webHidden/>
                </w:rPr>
                <w:fldChar w:fldCharType="begin"/>
              </w:r>
              <w:r w:rsidR="006B156E">
                <w:rPr>
                  <w:noProof/>
                  <w:webHidden/>
                </w:rPr>
                <w:instrText xml:space="preserve"> PAGEREF _Toc48123835 \h </w:instrText>
              </w:r>
              <w:r w:rsidR="006B156E">
                <w:rPr>
                  <w:noProof/>
                  <w:webHidden/>
                </w:rPr>
              </w:r>
              <w:r w:rsidR="006B156E">
                <w:rPr>
                  <w:noProof/>
                  <w:webHidden/>
                </w:rPr>
                <w:fldChar w:fldCharType="separate"/>
              </w:r>
              <w:r>
                <w:rPr>
                  <w:noProof/>
                  <w:webHidden/>
                </w:rPr>
                <w:t>4</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36" w:history="1">
              <w:r w:rsidR="006B156E" w:rsidRPr="00596FFC">
                <w:rPr>
                  <w:rStyle w:val="Hyperlink"/>
                  <w:noProof/>
                </w:rPr>
                <w:t>Inquiries under the State Sector Act</w:t>
              </w:r>
              <w:r w:rsidR="006B156E">
                <w:rPr>
                  <w:noProof/>
                  <w:webHidden/>
                </w:rPr>
                <w:tab/>
              </w:r>
              <w:r w:rsidR="006B156E">
                <w:rPr>
                  <w:noProof/>
                  <w:webHidden/>
                </w:rPr>
                <w:fldChar w:fldCharType="begin"/>
              </w:r>
              <w:r w:rsidR="006B156E">
                <w:rPr>
                  <w:noProof/>
                  <w:webHidden/>
                </w:rPr>
                <w:instrText xml:space="preserve"> PAGEREF _Toc48123836 \h </w:instrText>
              </w:r>
              <w:r w:rsidR="006B156E">
                <w:rPr>
                  <w:noProof/>
                  <w:webHidden/>
                </w:rPr>
              </w:r>
              <w:r w:rsidR="006B156E">
                <w:rPr>
                  <w:noProof/>
                  <w:webHidden/>
                </w:rPr>
                <w:fldChar w:fldCharType="separate"/>
              </w:r>
              <w:r>
                <w:rPr>
                  <w:noProof/>
                  <w:webHidden/>
                </w:rPr>
                <w:t>5</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37" w:history="1">
              <w:r w:rsidR="006B156E" w:rsidRPr="00596FFC">
                <w:rPr>
                  <w:rStyle w:val="Hyperlink"/>
                  <w:noProof/>
                </w:rPr>
                <w:t>Information held by inquiries</w:t>
              </w:r>
              <w:r w:rsidR="006B156E">
                <w:rPr>
                  <w:noProof/>
                  <w:webHidden/>
                </w:rPr>
                <w:tab/>
              </w:r>
              <w:r w:rsidR="006B156E">
                <w:rPr>
                  <w:noProof/>
                  <w:webHidden/>
                </w:rPr>
                <w:fldChar w:fldCharType="begin"/>
              </w:r>
              <w:r w:rsidR="006B156E">
                <w:rPr>
                  <w:noProof/>
                  <w:webHidden/>
                </w:rPr>
                <w:instrText xml:space="preserve"> PAGEREF _Toc48123837 \h </w:instrText>
              </w:r>
              <w:r w:rsidR="006B156E">
                <w:rPr>
                  <w:noProof/>
                  <w:webHidden/>
                </w:rPr>
              </w:r>
              <w:r w:rsidR="006B156E">
                <w:rPr>
                  <w:noProof/>
                  <w:webHidden/>
                </w:rPr>
                <w:fldChar w:fldCharType="separate"/>
              </w:r>
              <w:r>
                <w:rPr>
                  <w:noProof/>
                  <w:webHidden/>
                </w:rPr>
                <w:t>5</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38" w:history="1">
              <w:r w:rsidR="006B156E" w:rsidRPr="00596FFC">
                <w:rPr>
                  <w:rStyle w:val="Hyperlink"/>
                  <w:noProof/>
                </w:rPr>
                <w:t>Before the records are transferred to Archives</w:t>
              </w:r>
              <w:r w:rsidR="006B156E">
                <w:rPr>
                  <w:noProof/>
                  <w:webHidden/>
                </w:rPr>
                <w:tab/>
              </w:r>
              <w:r w:rsidR="006B156E">
                <w:rPr>
                  <w:noProof/>
                  <w:webHidden/>
                </w:rPr>
                <w:fldChar w:fldCharType="begin"/>
              </w:r>
              <w:r w:rsidR="006B156E">
                <w:rPr>
                  <w:noProof/>
                  <w:webHidden/>
                </w:rPr>
                <w:instrText xml:space="preserve"> PAGEREF _Toc48123838 \h </w:instrText>
              </w:r>
              <w:r w:rsidR="006B156E">
                <w:rPr>
                  <w:noProof/>
                  <w:webHidden/>
                </w:rPr>
              </w:r>
              <w:r w:rsidR="006B156E">
                <w:rPr>
                  <w:noProof/>
                  <w:webHidden/>
                </w:rPr>
                <w:fldChar w:fldCharType="separate"/>
              </w:r>
              <w:r>
                <w:rPr>
                  <w:noProof/>
                  <w:webHidden/>
                </w:rPr>
                <w:t>6</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39" w:history="1">
              <w:r w:rsidR="006B156E" w:rsidRPr="00596FFC">
                <w:rPr>
                  <w:rStyle w:val="Hyperlink"/>
                  <w:noProof/>
                </w:rPr>
                <w:t>After the records are transferred to Archives</w:t>
              </w:r>
              <w:r w:rsidR="006B156E">
                <w:rPr>
                  <w:noProof/>
                  <w:webHidden/>
                </w:rPr>
                <w:tab/>
              </w:r>
              <w:r w:rsidR="006B156E">
                <w:rPr>
                  <w:noProof/>
                  <w:webHidden/>
                </w:rPr>
                <w:fldChar w:fldCharType="begin"/>
              </w:r>
              <w:r w:rsidR="006B156E">
                <w:rPr>
                  <w:noProof/>
                  <w:webHidden/>
                </w:rPr>
                <w:instrText xml:space="preserve"> PAGEREF _Toc48123839 \h </w:instrText>
              </w:r>
              <w:r w:rsidR="006B156E">
                <w:rPr>
                  <w:noProof/>
                  <w:webHidden/>
                </w:rPr>
              </w:r>
              <w:r w:rsidR="006B156E">
                <w:rPr>
                  <w:noProof/>
                  <w:webHidden/>
                </w:rPr>
                <w:fldChar w:fldCharType="separate"/>
              </w:r>
              <w:r>
                <w:rPr>
                  <w:noProof/>
                  <w:webHidden/>
                </w:rPr>
                <w:t>6</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40" w:history="1">
              <w:r w:rsidR="006B156E" w:rsidRPr="00596FFC">
                <w:rPr>
                  <w:rStyle w:val="Hyperlink"/>
                  <w:noProof/>
                </w:rPr>
                <w:t>Information held by other government agencies</w:t>
              </w:r>
              <w:r w:rsidR="006B156E">
                <w:rPr>
                  <w:noProof/>
                  <w:webHidden/>
                </w:rPr>
                <w:tab/>
              </w:r>
              <w:r w:rsidR="006B156E">
                <w:rPr>
                  <w:noProof/>
                  <w:webHidden/>
                </w:rPr>
                <w:fldChar w:fldCharType="begin"/>
              </w:r>
              <w:r w:rsidR="006B156E">
                <w:rPr>
                  <w:noProof/>
                  <w:webHidden/>
                </w:rPr>
                <w:instrText xml:space="preserve"> PAGEREF _Toc48123840 \h </w:instrText>
              </w:r>
              <w:r w:rsidR="006B156E">
                <w:rPr>
                  <w:noProof/>
                  <w:webHidden/>
                </w:rPr>
              </w:r>
              <w:r w:rsidR="006B156E">
                <w:rPr>
                  <w:noProof/>
                  <w:webHidden/>
                </w:rPr>
                <w:fldChar w:fldCharType="separate"/>
              </w:r>
              <w:r>
                <w:rPr>
                  <w:noProof/>
                  <w:webHidden/>
                </w:rPr>
                <w:t>7</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1" w:history="1">
              <w:r w:rsidR="006B156E" w:rsidRPr="00596FFC">
                <w:rPr>
                  <w:rStyle w:val="Hyperlink"/>
                  <w:noProof/>
                </w:rPr>
                <w:t>The effect of section 32 of the Inquiries Act</w:t>
              </w:r>
              <w:r w:rsidR="006B156E">
                <w:rPr>
                  <w:noProof/>
                  <w:webHidden/>
                </w:rPr>
                <w:tab/>
              </w:r>
              <w:r w:rsidR="006B156E">
                <w:rPr>
                  <w:noProof/>
                  <w:webHidden/>
                </w:rPr>
                <w:fldChar w:fldCharType="begin"/>
              </w:r>
              <w:r w:rsidR="006B156E">
                <w:rPr>
                  <w:noProof/>
                  <w:webHidden/>
                </w:rPr>
                <w:instrText xml:space="preserve"> PAGEREF _Toc48123841 \h </w:instrText>
              </w:r>
              <w:r w:rsidR="006B156E">
                <w:rPr>
                  <w:noProof/>
                  <w:webHidden/>
                </w:rPr>
              </w:r>
              <w:r w:rsidR="006B156E">
                <w:rPr>
                  <w:noProof/>
                  <w:webHidden/>
                </w:rPr>
                <w:fldChar w:fldCharType="separate"/>
              </w:r>
              <w:r>
                <w:rPr>
                  <w:noProof/>
                  <w:webHidden/>
                </w:rPr>
                <w:t>7</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42" w:history="1">
              <w:r w:rsidR="006B156E" w:rsidRPr="00596FFC">
                <w:rPr>
                  <w:rStyle w:val="Hyperlink"/>
                  <w:noProof/>
                </w:rPr>
                <w:t>Information excluded from the OIA</w:t>
              </w:r>
              <w:r w:rsidR="006B156E">
                <w:rPr>
                  <w:noProof/>
                  <w:webHidden/>
                </w:rPr>
                <w:tab/>
              </w:r>
              <w:r w:rsidR="006B156E">
                <w:rPr>
                  <w:noProof/>
                  <w:webHidden/>
                </w:rPr>
                <w:fldChar w:fldCharType="begin"/>
              </w:r>
              <w:r w:rsidR="006B156E">
                <w:rPr>
                  <w:noProof/>
                  <w:webHidden/>
                </w:rPr>
                <w:instrText xml:space="preserve"> PAGEREF _Toc48123842 \h </w:instrText>
              </w:r>
              <w:r w:rsidR="006B156E">
                <w:rPr>
                  <w:noProof/>
                  <w:webHidden/>
                </w:rPr>
              </w:r>
              <w:r w:rsidR="006B156E">
                <w:rPr>
                  <w:noProof/>
                  <w:webHidden/>
                </w:rPr>
                <w:fldChar w:fldCharType="separate"/>
              </w:r>
              <w:r>
                <w:rPr>
                  <w:noProof/>
                  <w:webHidden/>
                </w:rPr>
                <w:t>8</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3" w:history="1">
              <w:r w:rsidR="006B156E" w:rsidRPr="00596FFC">
                <w:rPr>
                  <w:rStyle w:val="Hyperlink"/>
                  <w:noProof/>
                </w:rPr>
                <w:t>Paragraph (ha)</w:t>
              </w:r>
              <w:r w:rsidR="006B156E">
                <w:rPr>
                  <w:noProof/>
                  <w:webHidden/>
                </w:rPr>
                <w:tab/>
              </w:r>
              <w:r w:rsidR="006B156E">
                <w:rPr>
                  <w:noProof/>
                  <w:webHidden/>
                </w:rPr>
                <w:fldChar w:fldCharType="begin"/>
              </w:r>
              <w:r w:rsidR="006B156E">
                <w:rPr>
                  <w:noProof/>
                  <w:webHidden/>
                </w:rPr>
                <w:instrText xml:space="preserve"> PAGEREF _Toc48123843 \h </w:instrText>
              </w:r>
              <w:r w:rsidR="006B156E">
                <w:rPr>
                  <w:noProof/>
                  <w:webHidden/>
                </w:rPr>
              </w:r>
              <w:r w:rsidR="006B156E">
                <w:rPr>
                  <w:noProof/>
                  <w:webHidden/>
                </w:rPr>
                <w:fldChar w:fldCharType="separate"/>
              </w:r>
              <w:r>
                <w:rPr>
                  <w:noProof/>
                  <w:webHidden/>
                </w:rPr>
                <w:t>8</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4" w:history="1">
              <w:r w:rsidR="006B156E" w:rsidRPr="00596FFC">
                <w:rPr>
                  <w:rStyle w:val="Hyperlink"/>
                  <w:noProof/>
                </w:rPr>
                <w:t>Non-publication orders</w:t>
              </w:r>
              <w:r w:rsidR="006B156E">
                <w:rPr>
                  <w:noProof/>
                  <w:webHidden/>
                </w:rPr>
                <w:tab/>
              </w:r>
              <w:r w:rsidR="006B156E">
                <w:rPr>
                  <w:noProof/>
                  <w:webHidden/>
                </w:rPr>
                <w:fldChar w:fldCharType="begin"/>
              </w:r>
              <w:r w:rsidR="006B156E">
                <w:rPr>
                  <w:noProof/>
                  <w:webHidden/>
                </w:rPr>
                <w:instrText xml:space="preserve"> PAGEREF _Toc48123844 \h </w:instrText>
              </w:r>
              <w:r w:rsidR="006B156E">
                <w:rPr>
                  <w:noProof/>
                  <w:webHidden/>
                </w:rPr>
              </w:r>
              <w:r w:rsidR="006B156E">
                <w:rPr>
                  <w:noProof/>
                  <w:webHidden/>
                </w:rPr>
                <w:fldChar w:fldCharType="separate"/>
              </w:r>
              <w:r>
                <w:rPr>
                  <w:noProof/>
                  <w:webHidden/>
                </w:rPr>
                <w:t>8</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5" w:history="1">
              <w:r w:rsidR="006B156E" w:rsidRPr="00596FFC">
                <w:rPr>
                  <w:rStyle w:val="Hyperlink"/>
                  <w:noProof/>
                </w:rPr>
                <w:t>Guidance for inquiries making non-publication orders</w:t>
              </w:r>
              <w:r w:rsidR="006B156E">
                <w:rPr>
                  <w:noProof/>
                  <w:webHidden/>
                </w:rPr>
                <w:tab/>
              </w:r>
              <w:r w:rsidR="006B156E">
                <w:rPr>
                  <w:noProof/>
                  <w:webHidden/>
                </w:rPr>
                <w:fldChar w:fldCharType="begin"/>
              </w:r>
              <w:r w:rsidR="006B156E">
                <w:rPr>
                  <w:noProof/>
                  <w:webHidden/>
                </w:rPr>
                <w:instrText xml:space="preserve"> PAGEREF _Toc48123845 \h </w:instrText>
              </w:r>
              <w:r w:rsidR="006B156E">
                <w:rPr>
                  <w:noProof/>
                  <w:webHidden/>
                </w:rPr>
              </w:r>
              <w:r w:rsidR="006B156E">
                <w:rPr>
                  <w:noProof/>
                  <w:webHidden/>
                </w:rPr>
                <w:fldChar w:fldCharType="separate"/>
              </w:r>
              <w:r>
                <w:rPr>
                  <w:noProof/>
                  <w:webHidden/>
                </w:rPr>
                <w:t>9</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46" w:history="1">
              <w:r w:rsidR="006B156E" w:rsidRPr="00596FFC">
                <w:rPr>
                  <w:rStyle w:val="Hyperlink"/>
                  <w:noProof/>
                </w:rPr>
                <w:t>Reasons for refusal</w:t>
              </w:r>
              <w:r w:rsidR="006B156E">
                <w:rPr>
                  <w:noProof/>
                  <w:webHidden/>
                </w:rPr>
                <w:tab/>
              </w:r>
              <w:r w:rsidR="006B156E">
                <w:rPr>
                  <w:noProof/>
                  <w:webHidden/>
                </w:rPr>
                <w:fldChar w:fldCharType="begin"/>
              </w:r>
              <w:r w:rsidR="006B156E">
                <w:rPr>
                  <w:noProof/>
                  <w:webHidden/>
                </w:rPr>
                <w:instrText xml:space="preserve"> PAGEREF _Toc48123846 \h </w:instrText>
              </w:r>
              <w:r w:rsidR="006B156E">
                <w:rPr>
                  <w:noProof/>
                  <w:webHidden/>
                </w:rPr>
              </w:r>
              <w:r w:rsidR="006B156E">
                <w:rPr>
                  <w:noProof/>
                  <w:webHidden/>
                </w:rPr>
                <w:fldChar w:fldCharType="separate"/>
              </w:r>
              <w:r>
                <w:rPr>
                  <w:noProof/>
                  <w:webHidden/>
                </w:rPr>
                <w:t>10</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7" w:history="1">
              <w:r w:rsidR="006B156E" w:rsidRPr="00596FFC">
                <w:rPr>
                  <w:rStyle w:val="Hyperlink"/>
                  <w:noProof/>
                </w:rPr>
                <w:t>Maintenance of the law—section 6(c)</w:t>
              </w:r>
              <w:r w:rsidR="006B156E">
                <w:rPr>
                  <w:noProof/>
                  <w:webHidden/>
                </w:rPr>
                <w:tab/>
              </w:r>
              <w:r w:rsidR="006B156E">
                <w:rPr>
                  <w:noProof/>
                  <w:webHidden/>
                </w:rPr>
                <w:fldChar w:fldCharType="begin"/>
              </w:r>
              <w:r w:rsidR="006B156E">
                <w:rPr>
                  <w:noProof/>
                  <w:webHidden/>
                </w:rPr>
                <w:instrText xml:space="preserve"> PAGEREF _Toc48123847 \h </w:instrText>
              </w:r>
              <w:r w:rsidR="006B156E">
                <w:rPr>
                  <w:noProof/>
                  <w:webHidden/>
                </w:rPr>
              </w:r>
              <w:r w:rsidR="006B156E">
                <w:rPr>
                  <w:noProof/>
                  <w:webHidden/>
                </w:rPr>
                <w:fldChar w:fldCharType="separate"/>
              </w:r>
              <w:r>
                <w:rPr>
                  <w:noProof/>
                  <w:webHidden/>
                </w:rPr>
                <w:t>11</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8" w:history="1">
              <w:r w:rsidR="006B156E" w:rsidRPr="00596FFC">
                <w:rPr>
                  <w:rStyle w:val="Hyperlink"/>
                  <w:noProof/>
                </w:rPr>
                <w:t>Release would be contrary to the Inquiries Act—s 18(c)(i)</w:t>
              </w:r>
              <w:r w:rsidR="006B156E">
                <w:rPr>
                  <w:noProof/>
                  <w:webHidden/>
                </w:rPr>
                <w:tab/>
              </w:r>
              <w:r w:rsidR="006B156E">
                <w:rPr>
                  <w:noProof/>
                  <w:webHidden/>
                </w:rPr>
                <w:fldChar w:fldCharType="begin"/>
              </w:r>
              <w:r w:rsidR="006B156E">
                <w:rPr>
                  <w:noProof/>
                  <w:webHidden/>
                </w:rPr>
                <w:instrText xml:space="preserve"> PAGEREF _Toc48123848 \h </w:instrText>
              </w:r>
              <w:r w:rsidR="006B156E">
                <w:rPr>
                  <w:noProof/>
                  <w:webHidden/>
                </w:rPr>
              </w:r>
              <w:r w:rsidR="006B156E">
                <w:rPr>
                  <w:noProof/>
                  <w:webHidden/>
                </w:rPr>
                <w:fldChar w:fldCharType="separate"/>
              </w:r>
              <w:r>
                <w:rPr>
                  <w:noProof/>
                  <w:webHidden/>
                </w:rPr>
                <w:t>13</w:t>
              </w:r>
              <w:r w:rsidR="006B156E">
                <w:rPr>
                  <w:noProof/>
                  <w:webHidden/>
                </w:rPr>
                <w:fldChar w:fldCharType="end"/>
              </w:r>
            </w:hyperlink>
          </w:p>
          <w:p w:rsidR="006B156E" w:rsidRDefault="003B7727">
            <w:pPr>
              <w:pStyle w:val="TOC2"/>
              <w:rPr>
                <w:rFonts w:asciiTheme="minorHAnsi" w:eastAsiaTheme="minorEastAsia" w:hAnsiTheme="minorHAnsi"/>
                <w:noProof/>
                <w:color w:val="auto"/>
                <w:sz w:val="22"/>
                <w:lang w:eastAsia="en-NZ"/>
              </w:rPr>
            </w:pPr>
            <w:hyperlink w:anchor="_Toc48123849" w:history="1">
              <w:r w:rsidR="006B156E" w:rsidRPr="00596FFC">
                <w:rPr>
                  <w:rStyle w:val="Hyperlink"/>
                  <w:noProof/>
                </w:rPr>
                <w:t>Other refusal grounds</w:t>
              </w:r>
              <w:r w:rsidR="006B156E">
                <w:rPr>
                  <w:noProof/>
                  <w:webHidden/>
                </w:rPr>
                <w:tab/>
              </w:r>
              <w:r w:rsidR="006B156E">
                <w:rPr>
                  <w:noProof/>
                  <w:webHidden/>
                </w:rPr>
                <w:fldChar w:fldCharType="begin"/>
              </w:r>
              <w:r w:rsidR="006B156E">
                <w:rPr>
                  <w:noProof/>
                  <w:webHidden/>
                </w:rPr>
                <w:instrText xml:space="preserve"> PAGEREF _Toc48123849 \h </w:instrText>
              </w:r>
              <w:r w:rsidR="006B156E">
                <w:rPr>
                  <w:noProof/>
                  <w:webHidden/>
                </w:rPr>
              </w:r>
              <w:r w:rsidR="006B156E">
                <w:rPr>
                  <w:noProof/>
                  <w:webHidden/>
                </w:rPr>
                <w:fldChar w:fldCharType="separate"/>
              </w:r>
              <w:r>
                <w:rPr>
                  <w:noProof/>
                  <w:webHidden/>
                </w:rPr>
                <w:t>14</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50" w:history="1">
              <w:r w:rsidR="006B156E" w:rsidRPr="00596FFC">
                <w:rPr>
                  <w:rStyle w:val="Hyperlink"/>
                  <w:noProof/>
                </w:rPr>
                <w:t>Further information</w:t>
              </w:r>
              <w:r w:rsidR="006B156E">
                <w:rPr>
                  <w:noProof/>
                  <w:webHidden/>
                </w:rPr>
                <w:tab/>
              </w:r>
              <w:r w:rsidR="006B156E">
                <w:rPr>
                  <w:noProof/>
                  <w:webHidden/>
                </w:rPr>
                <w:fldChar w:fldCharType="begin"/>
              </w:r>
              <w:r w:rsidR="006B156E">
                <w:rPr>
                  <w:noProof/>
                  <w:webHidden/>
                </w:rPr>
                <w:instrText xml:space="preserve"> PAGEREF _Toc48123850 \h </w:instrText>
              </w:r>
              <w:r w:rsidR="006B156E">
                <w:rPr>
                  <w:noProof/>
                  <w:webHidden/>
                </w:rPr>
              </w:r>
              <w:r w:rsidR="006B156E">
                <w:rPr>
                  <w:noProof/>
                  <w:webHidden/>
                </w:rPr>
                <w:fldChar w:fldCharType="separate"/>
              </w:r>
              <w:r>
                <w:rPr>
                  <w:noProof/>
                  <w:webHidden/>
                </w:rPr>
                <w:t>17</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51" w:history="1">
              <w:r w:rsidR="006B156E" w:rsidRPr="00596FFC">
                <w:rPr>
                  <w:rStyle w:val="Hyperlink"/>
                  <w:noProof/>
                </w:rPr>
                <w:t>Appendix 1. Summary—the OIA and inquiries</w:t>
              </w:r>
              <w:r w:rsidR="006B156E">
                <w:rPr>
                  <w:noProof/>
                  <w:webHidden/>
                </w:rPr>
                <w:tab/>
              </w:r>
              <w:r w:rsidR="006B156E">
                <w:rPr>
                  <w:noProof/>
                  <w:webHidden/>
                </w:rPr>
                <w:fldChar w:fldCharType="begin"/>
              </w:r>
              <w:r w:rsidR="006B156E">
                <w:rPr>
                  <w:noProof/>
                  <w:webHidden/>
                </w:rPr>
                <w:instrText xml:space="preserve"> PAGEREF _Toc48123851 \h </w:instrText>
              </w:r>
              <w:r w:rsidR="006B156E">
                <w:rPr>
                  <w:noProof/>
                  <w:webHidden/>
                </w:rPr>
              </w:r>
              <w:r w:rsidR="006B156E">
                <w:rPr>
                  <w:noProof/>
                  <w:webHidden/>
                </w:rPr>
                <w:fldChar w:fldCharType="separate"/>
              </w:r>
              <w:r>
                <w:rPr>
                  <w:noProof/>
                  <w:webHidden/>
                </w:rPr>
                <w:t>18</w:t>
              </w:r>
              <w:r w:rsidR="006B156E">
                <w:rPr>
                  <w:noProof/>
                  <w:webHidden/>
                </w:rPr>
                <w:fldChar w:fldCharType="end"/>
              </w:r>
            </w:hyperlink>
          </w:p>
          <w:p w:rsidR="006B156E" w:rsidRDefault="003B7727">
            <w:pPr>
              <w:pStyle w:val="TOC1"/>
              <w:rPr>
                <w:rFonts w:asciiTheme="minorHAnsi" w:eastAsiaTheme="minorEastAsia" w:hAnsiTheme="minorHAnsi"/>
                <w:b w:val="0"/>
                <w:noProof/>
                <w:color w:val="auto"/>
                <w:sz w:val="22"/>
                <w:lang w:eastAsia="en-NZ"/>
              </w:rPr>
            </w:pPr>
            <w:hyperlink w:anchor="_Toc48123852" w:history="1">
              <w:r w:rsidR="006B156E" w:rsidRPr="00596FFC">
                <w:rPr>
                  <w:rStyle w:val="Hyperlink"/>
                  <w:noProof/>
                </w:rPr>
                <w:t>Appendix 2. Relevant case notes and opinions</w:t>
              </w:r>
              <w:r w:rsidR="006B156E">
                <w:rPr>
                  <w:noProof/>
                  <w:webHidden/>
                </w:rPr>
                <w:tab/>
              </w:r>
              <w:r w:rsidR="006B156E">
                <w:rPr>
                  <w:noProof/>
                  <w:webHidden/>
                </w:rPr>
                <w:fldChar w:fldCharType="begin"/>
              </w:r>
              <w:r w:rsidR="006B156E">
                <w:rPr>
                  <w:noProof/>
                  <w:webHidden/>
                </w:rPr>
                <w:instrText xml:space="preserve"> PAGEREF _Toc48123852 \h </w:instrText>
              </w:r>
              <w:r w:rsidR="006B156E">
                <w:rPr>
                  <w:noProof/>
                  <w:webHidden/>
                </w:rPr>
              </w:r>
              <w:r w:rsidR="006B156E">
                <w:rPr>
                  <w:noProof/>
                  <w:webHidden/>
                </w:rPr>
                <w:fldChar w:fldCharType="separate"/>
              </w:r>
              <w:r>
                <w:rPr>
                  <w:noProof/>
                  <w:webHidden/>
                </w:rPr>
                <w:t>20</w:t>
              </w:r>
              <w:r w:rsidR="006B156E">
                <w:rPr>
                  <w:noProof/>
                  <w:webHidden/>
                </w:rPr>
                <w:fldChar w:fldCharType="end"/>
              </w:r>
            </w:hyperlink>
          </w:p>
          <w:p w:rsidR="00A5640F" w:rsidRDefault="00A5640F" w:rsidP="00A52ECE">
            <w:pPr>
              <w:pStyle w:val="Whitespace"/>
            </w:pPr>
            <w:r>
              <w:fldChar w:fldCharType="end"/>
            </w:r>
          </w:p>
        </w:tc>
      </w:tr>
      <w:bookmarkEnd w:id="1"/>
      <w:bookmarkEnd w:id="2"/>
    </w:tbl>
    <w:p w:rsidR="007B6461" w:rsidRDefault="007B6461" w:rsidP="007B6461">
      <w:pPr>
        <w:pStyle w:val="BodyText"/>
      </w:pPr>
    </w:p>
    <w:p w:rsidR="007B6461" w:rsidRDefault="007B6461" w:rsidP="0030405B">
      <w:pPr>
        <w:widowControl w:val="0"/>
        <w:spacing w:after="200" w:line="276" w:lineRule="auto"/>
      </w:pPr>
      <w:r>
        <w:br w:type="page"/>
      </w:r>
    </w:p>
    <w:p w:rsidR="00204338" w:rsidRDefault="00204338" w:rsidP="0030405B">
      <w:pPr>
        <w:pStyle w:val="Heading1"/>
        <w:keepNext w:val="0"/>
        <w:keepLines w:val="0"/>
        <w:widowControl w:val="0"/>
        <w:numPr>
          <w:ilvl w:val="0"/>
          <w:numId w:val="0"/>
        </w:numPr>
      </w:pPr>
      <w:bookmarkStart w:id="3" w:name="_Toc48123833"/>
      <w:r>
        <w:lastRenderedPageBreak/>
        <w:t>Introduction</w:t>
      </w:r>
      <w:bookmarkEnd w:id="3"/>
    </w:p>
    <w:p w:rsidR="000D2AC2" w:rsidRDefault="000D2AC2" w:rsidP="000D2AC2">
      <w:pPr>
        <w:pStyle w:val="BodyText"/>
      </w:pPr>
      <w:r>
        <w:t>S</w:t>
      </w:r>
      <w:r w:rsidRPr="00204338">
        <w:t xml:space="preserve">ometimes </w:t>
      </w:r>
      <w:r>
        <w:t>the government</w:t>
      </w:r>
      <w:r w:rsidRPr="00204338">
        <w:t xml:space="preserve"> will decide to appoint an inquiry to examine a matter of public importance. Inevitably, </w:t>
      </w:r>
      <w:r>
        <w:t xml:space="preserve">people will want to access information about </w:t>
      </w:r>
      <w:r w:rsidR="000F3746">
        <w:t xml:space="preserve">the </w:t>
      </w:r>
      <w:r>
        <w:t>matter</w:t>
      </w:r>
      <w:r w:rsidR="00A70021">
        <w:t>s</w:t>
      </w:r>
      <w:r>
        <w:t xml:space="preserve"> under inquiry</w:t>
      </w:r>
      <w:r w:rsidRPr="00204338">
        <w:t xml:space="preserve">. </w:t>
      </w:r>
    </w:p>
    <w:p w:rsidR="000D2AC2" w:rsidRDefault="000D2AC2" w:rsidP="000D2AC2">
      <w:pPr>
        <w:pStyle w:val="BodyText"/>
      </w:pPr>
      <w:r w:rsidRPr="00204338">
        <w:t>The application of the OIA to these requests is not</w:t>
      </w:r>
      <w:r>
        <w:t xml:space="preserve"> always</w:t>
      </w:r>
      <w:r w:rsidRPr="00204338">
        <w:t xml:space="preserve"> straightforward. This </w:t>
      </w:r>
      <w:r w:rsidR="00563ED7">
        <w:t>guide</w:t>
      </w:r>
      <w:r w:rsidRPr="00204338">
        <w:t xml:space="preserve"> explain</w:t>
      </w:r>
      <w:r w:rsidR="00563ED7">
        <w:t>s</w:t>
      </w:r>
      <w:r w:rsidRPr="00204338">
        <w:t xml:space="preserve"> when and how the OIA applies to these requests.  </w:t>
      </w:r>
    </w:p>
    <w:p w:rsidR="00054DDA" w:rsidRDefault="00054DDA" w:rsidP="000D2AC2">
      <w:pPr>
        <w:pStyle w:val="BodyText"/>
      </w:pPr>
      <w:r>
        <w:t>There are three questions to consider:</w:t>
      </w:r>
    </w:p>
    <w:p w:rsidR="00054DDA" w:rsidRDefault="00054DDA" w:rsidP="00054DDA">
      <w:pPr>
        <w:pStyle w:val="Number1"/>
      </w:pPr>
      <w:r>
        <w:t>Is the information held by an agency</w:t>
      </w:r>
      <w:r w:rsidR="00761AC5">
        <w:t xml:space="preserve"> that is</w:t>
      </w:r>
      <w:r>
        <w:t xml:space="preserve"> subject to the OIA?</w:t>
      </w:r>
    </w:p>
    <w:p w:rsidR="00054DDA" w:rsidRDefault="00054DDA" w:rsidP="00054DDA">
      <w:pPr>
        <w:pStyle w:val="Number1"/>
      </w:pPr>
      <w:r>
        <w:t xml:space="preserve">If so, is the information </w:t>
      </w:r>
      <w:r>
        <w:rPr>
          <w:i/>
        </w:rPr>
        <w:t>‘official information’</w:t>
      </w:r>
      <w:r>
        <w:t>?</w:t>
      </w:r>
    </w:p>
    <w:p w:rsidR="00054DDA" w:rsidRDefault="00054DDA" w:rsidP="00054DDA">
      <w:pPr>
        <w:pStyle w:val="Number1"/>
      </w:pPr>
      <w:r>
        <w:t xml:space="preserve">If so, is there a </w:t>
      </w:r>
      <w:r>
        <w:rPr>
          <w:i/>
        </w:rPr>
        <w:t xml:space="preserve">‘good reason’ </w:t>
      </w:r>
      <w:r>
        <w:t>for withholding that information?</w:t>
      </w:r>
    </w:p>
    <w:p w:rsidR="00DB4B30" w:rsidRDefault="00DB4B30" w:rsidP="000D2AC2">
      <w:pPr>
        <w:pStyle w:val="BodyText"/>
      </w:pPr>
      <w:r>
        <w:t>This guide discusses:</w:t>
      </w:r>
    </w:p>
    <w:p w:rsidR="00DB4B30" w:rsidRDefault="00874E85" w:rsidP="00DB4B30">
      <w:pPr>
        <w:pStyle w:val="Bullet1"/>
      </w:pPr>
      <w:r>
        <w:t>t</w:t>
      </w:r>
      <w:r w:rsidR="00DB4B30">
        <w:t>he background to the Inquiries Act</w:t>
      </w:r>
      <w:r w:rsidR="008C768B">
        <w:t>;</w:t>
      </w:r>
    </w:p>
    <w:p w:rsidR="00DB4B30" w:rsidRDefault="00874E85" w:rsidP="00DB4B30">
      <w:pPr>
        <w:pStyle w:val="Bullet1"/>
      </w:pPr>
      <w:r>
        <w:t>some key provisions of the I</w:t>
      </w:r>
      <w:r w:rsidR="00DB4B30">
        <w:t>nquiries Act</w:t>
      </w:r>
      <w:r w:rsidR="008C768B">
        <w:t>;</w:t>
      </w:r>
    </w:p>
    <w:p w:rsidR="00C9783C" w:rsidRDefault="00874E85" w:rsidP="00DB4B30">
      <w:pPr>
        <w:pStyle w:val="Bullet1"/>
      </w:pPr>
      <w:r>
        <w:t>i</w:t>
      </w:r>
      <w:r w:rsidR="00C9783C">
        <w:t xml:space="preserve">nformation held by inquiries, and when that might be subject to the </w:t>
      </w:r>
      <w:r w:rsidR="008C768B">
        <w:t>OIA;</w:t>
      </w:r>
    </w:p>
    <w:p w:rsidR="00C9783C" w:rsidRDefault="00874E85" w:rsidP="00DB4B30">
      <w:pPr>
        <w:pStyle w:val="Bullet1"/>
      </w:pPr>
      <w:r>
        <w:t>i</w:t>
      </w:r>
      <w:r w:rsidR="00C9783C">
        <w:t>nformation held by other government agencies</w:t>
      </w:r>
      <w:r w:rsidR="008C768B">
        <w:t>;</w:t>
      </w:r>
    </w:p>
    <w:p w:rsidR="00C9783C" w:rsidRDefault="00874E85" w:rsidP="00DB4B30">
      <w:pPr>
        <w:pStyle w:val="Bullet1"/>
      </w:pPr>
      <w:r>
        <w:t>i</w:t>
      </w:r>
      <w:r w:rsidR="00C9783C">
        <w:t>nformation that is excluded from the OIA</w:t>
      </w:r>
      <w:r>
        <w:t xml:space="preserve"> (</w:t>
      </w:r>
      <w:r w:rsidR="00C9783C">
        <w:t xml:space="preserve">to which the </w:t>
      </w:r>
      <w:r w:rsidR="00C15F9B">
        <w:t>OIA</w:t>
      </w:r>
      <w:r w:rsidR="00C9783C">
        <w:t xml:space="preserve"> will not apply</w:t>
      </w:r>
      <w:r w:rsidR="004342DC">
        <w:t>, even if it is held by an agency subject to the Act</w:t>
      </w:r>
      <w:r w:rsidR="008C768B">
        <w:t>);</w:t>
      </w:r>
      <w:r>
        <w:t xml:space="preserve"> and</w:t>
      </w:r>
    </w:p>
    <w:p w:rsidR="00C9783C" w:rsidRDefault="001D2617" w:rsidP="00DB4B30">
      <w:pPr>
        <w:pStyle w:val="Bullet1"/>
      </w:pPr>
      <w:r>
        <w:t>r</w:t>
      </w:r>
      <w:r w:rsidR="00C9783C">
        <w:t>easons for refusal that are likely to be relevant in this context</w:t>
      </w:r>
      <w:r>
        <w:t>.</w:t>
      </w:r>
    </w:p>
    <w:p w:rsidR="00C9783C" w:rsidRDefault="00C9783C" w:rsidP="00C9783C">
      <w:pPr>
        <w:pStyle w:val="BodyText"/>
      </w:pPr>
      <w:r>
        <w:t xml:space="preserve">If you’re short on time, refer to our </w:t>
      </w:r>
      <w:hyperlink w:anchor="summary" w:history="1">
        <w:r w:rsidRPr="00C9783C">
          <w:rPr>
            <w:rStyle w:val="Hyperlink"/>
          </w:rPr>
          <w:t>summary on the OIA and inquiries</w:t>
        </w:r>
      </w:hyperlink>
      <w:r>
        <w:t>.</w:t>
      </w:r>
    </w:p>
    <w:p w:rsidR="00C02AB7" w:rsidRDefault="00E53BB1" w:rsidP="0030405B">
      <w:pPr>
        <w:pStyle w:val="Heading1"/>
        <w:keepNext w:val="0"/>
        <w:keepLines w:val="0"/>
        <w:widowControl w:val="0"/>
        <w:numPr>
          <w:ilvl w:val="0"/>
          <w:numId w:val="0"/>
        </w:numPr>
      </w:pPr>
      <w:bookmarkStart w:id="4" w:name="_Toc48123834"/>
      <w:r>
        <w:t>Background</w:t>
      </w:r>
      <w:r w:rsidR="00DB4B30">
        <w:t xml:space="preserve"> to the Inquiries Act</w:t>
      </w:r>
      <w:bookmarkEnd w:id="4"/>
    </w:p>
    <w:p w:rsidR="00FB2718" w:rsidRDefault="00707D1E" w:rsidP="000A4730">
      <w:pPr>
        <w:pStyle w:val="BodyText"/>
      </w:pPr>
      <w:r>
        <w:t xml:space="preserve">Historically, public inquiries were governed by the Commissions of Inquiry (COI) Act 1908. </w:t>
      </w:r>
    </w:p>
    <w:p w:rsidR="000A4730" w:rsidRDefault="00FB2718" w:rsidP="000A4730">
      <w:pPr>
        <w:pStyle w:val="BodyText"/>
      </w:pPr>
      <w:r>
        <w:t>The COI</w:t>
      </w:r>
      <w:r w:rsidR="00707D1E">
        <w:t xml:space="preserve"> Act provided for the appointment of </w:t>
      </w:r>
      <w:r w:rsidR="00707D1E" w:rsidRPr="00DC5DDB">
        <w:t xml:space="preserve">commissions of inquiry </w:t>
      </w:r>
      <w:r w:rsidR="00707D1E">
        <w:t>to inquire into matters of public importance</w:t>
      </w:r>
      <w:r>
        <w:t>. It also applied to</w:t>
      </w:r>
      <w:r w:rsidR="00707D1E">
        <w:t xml:space="preserve"> </w:t>
      </w:r>
      <w:r w:rsidR="00707D1E" w:rsidRPr="00DC5DDB">
        <w:t xml:space="preserve">royal commissions </w:t>
      </w:r>
      <w:r w:rsidR="00707D1E">
        <w:t xml:space="preserve">of inquiry established by the Governor-General under the Letters Patent. </w:t>
      </w:r>
    </w:p>
    <w:p w:rsidR="00707D1E" w:rsidRDefault="00707D1E" w:rsidP="00707D1E">
      <w:pPr>
        <w:pStyle w:val="BodyText"/>
      </w:pPr>
      <w:r>
        <w:t>In 2006, the Law Commission reviewed the law relating to public inquiries</w:t>
      </w:r>
      <w:r w:rsidR="00FB2718">
        <w:t>, and identified three broad problems:</w:t>
      </w:r>
      <w:r>
        <w:t xml:space="preserve"> </w:t>
      </w:r>
    </w:p>
    <w:p w:rsidR="00E53BB1" w:rsidRDefault="00E53BB1" w:rsidP="0056103D">
      <w:pPr>
        <w:pStyle w:val="Number1"/>
        <w:numPr>
          <w:ilvl w:val="0"/>
          <w:numId w:val="42"/>
        </w:numPr>
      </w:pPr>
      <w:r>
        <w:t xml:space="preserve">The </w:t>
      </w:r>
      <w:r w:rsidR="00707D1E">
        <w:t>COI</w:t>
      </w:r>
      <w:r>
        <w:t xml:space="preserve"> Act</w:t>
      </w:r>
      <w:r w:rsidR="00707D1E">
        <w:t xml:space="preserve"> w</w:t>
      </w:r>
      <w:r>
        <w:t xml:space="preserve">as antiquated and confusing. </w:t>
      </w:r>
    </w:p>
    <w:p w:rsidR="00E53BB1" w:rsidRDefault="00E53BB1" w:rsidP="00E53BB1">
      <w:pPr>
        <w:pStyle w:val="Number1"/>
      </w:pPr>
      <w:r>
        <w:t xml:space="preserve">Royal commissions and commissions of inquiry were costly and legalistic. </w:t>
      </w:r>
    </w:p>
    <w:p w:rsidR="004550DA" w:rsidRDefault="00FB2718" w:rsidP="00E53BB1">
      <w:pPr>
        <w:pStyle w:val="Number1"/>
      </w:pPr>
      <w:r>
        <w:t>As a result, n</w:t>
      </w:r>
      <w:r w:rsidR="00E53BB1">
        <w:t>on-statutory ‘ministerial inquiries’ were increasingly preferred, but these took place outside a statutory framework, and lacked coercive powers.</w:t>
      </w:r>
    </w:p>
    <w:p w:rsidR="00200843" w:rsidRDefault="00200843" w:rsidP="0030405B">
      <w:pPr>
        <w:pStyle w:val="BodyText"/>
        <w:widowControl w:val="0"/>
      </w:pPr>
      <w:r>
        <w:lastRenderedPageBreak/>
        <w:t xml:space="preserve">The </w:t>
      </w:r>
      <w:r w:rsidR="00E53BB1">
        <w:t xml:space="preserve">Law Commission’s </w:t>
      </w:r>
      <w:r>
        <w:t xml:space="preserve">report, </w:t>
      </w:r>
      <w:hyperlink r:id="rId7" w:history="1">
        <w:r w:rsidRPr="00E53BB1">
          <w:rPr>
            <w:rStyle w:val="Hyperlink"/>
            <w:i/>
          </w:rPr>
          <w:t>A New Inquiries Act</w:t>
        </w:r>
      </w:hyperlink>
      <w:r>
        <w:t>, recommended a new law</w:t>
      </w:r>
      <w:r w:rsidR="00E53BB1">
        <w:t>.</w:t>
      </w:r>
    </w:p>
    <w:p w:rsidR="00FB2718" w:rsidRDefault="00DB4B30" w:rsidP="00FB2718">
      <w:pPr>
        <w:pStyle w:val="Heading1"/>
      </w:pPr>
      <w:bookmarkStart w:id="5" w:name="_The_Inquiries_Act"/>
      <w:bookmarkStart w:id="6" w:name="_Toc48123835"/>
      <w:bookmarkEnd w:id="5"/>
      <w:r>
        <w:t>Key provisions of t</w:t>
      </w:r>
      <w:r w:rsidR="00FB2718">
        <w:t>he Inquiries Act</w:t>
      </w:r>
      <w:bookmarkEnd w:id="6"/>
      <w:r w:rsidR="00FB2718">
        <w:t xml:space="preserve"> </w:t>
      </w:r>
    </w:p>
    <w:p w:rsidR="004A584D" w:rsidRDefault="00AB5D0F" w:rsidP="0030405B">
      <w:pPr>
        <w:pStyle w:val="BodyText"/>
        <w:widowControl w:val="0"/>
      </w:pPr>
      <w:r>
        <w:t>The Inquiries Act</w:t>
      </w:r>
      <w:r w:rsidR="00417474">
        <w:t xml:space="preserve"> </w:t>
      </w:r>
      <w:r>
        <w:t>largely r</w:t>
      </w:r>
      <w:r w:rsidR="009C56F1">
        <w:t>eplaced the COI</w:t>
      </w:r>
      <w:r w:rsidR="00417474">
        <w:t xml:space="preserve"> </w:t>
      </w:r>
      <w:r>
        <w:t>Act.</w:t>
      </w:r>
      <w:r w:rsidR="00573D5E">
        <w:rPr>
          <w:rStyle w:val="FootnoteReference"/>
        </w:rPr>
        <w:footnoteReference w:id="2"/>
      </w:r>
      <w:r w:rsidR="009C56F1">
        <w:t xml:space="preserve"> It</w:t>
      </w:r>
      <w:r w:rsidR="00FB2718">
        <w:t xml:space="preserve"> recognises three types of inquiry</w:t>
      </w:r>
      <w:r w:rsidR="004A584D">
        <w:t>:</w:t>
      </w:r>
      <w:r w:rsidR="0030405B">
        <w:rPr>
          <w:rStyle w:val="FootnoteReference"/>
        </w:rPr>
        <w:footnoteReference w:id="3"/>
      </w:r>
    </w:p>
    <w:p w:rsidR="004A584D" w:rsidRDefault="004A584D" w:rsidP="009C56F1">
      <w:pPr>
        <w:pStyle w:val="Number1"/>
        <w:numPr>
          <w:ilvl w:val="0"/>
          <w:numId w:val="37"/>
        </w:numPr>
      </w:pPr>
      <w:r>
        <w:t>royal commissions;</w:t>
      </w:r>
    </w:p>
    <w:p w:rsidR="004A584D" w:rsidRDefault="004A584D" w:rsidP="009C56F1">
      <w:pPr>
        <w:pStyle w:val="Number1"/>
      </w:pPr>
      <w:r>
        <w:t xml:space="preserve">public inquiries; and </w:t>
      </w:r>
    </w:p>
    <w:p w:rsidR="004A584D" w:rsidRDefault="004A584D" w:rsidP="009C56F1">
      <w:pPr>
        <w:pStyle w:val="Number1"/>
      </w:pPr>
      <w:r>
        <w:t>governme</w:t>
      </w:r>
      <w:bookmarkStart w:id="7" w:name="_GoBack"/>
      <w:bookmarkEnd w:id="7"/>
      <w:r>
        <w:t xml:space="preserve">nt inquiries. </w:t>
      </w:r>
    </w:p>
    <w:p w:rsidR="005633D2" w:rsidRDefault="00FB2718" w:rsidP="00CA48B0">
      <w:pPr>
        <w:pStyle w:val="BodyText"/>
        <w:keepNext/>
        <w:widowControl w:val="0"/>
      </w:pPr>
      <w:r>
        <w:t xml:space="preserve">All three types of inquiry have the same powers. </w:t>
      </w:r>
      <w:r w:rsidR="005045F0">
        <w:t>The main difference is their perceived status:</w:t>
      </w:r>
      <w:r w:rsidR="005633D2">
        <w:rPr>
          <w:rStyle w:val="FootnoteReference"/>
        </w:rPr>
        <w:footnoteReference w:id="4"/>
      </w:r>
      <w:r w:rsidR="005045F0">
        <w:t xml:space="preserve"> </w:t>
      </w:r>
    </w:p>
    <w:p w:rsidR="005633D2" w:rsidRDefault="00976478" w:rsidP="00CA48B0">
      <w:pPr>
        <w:pStyle w:val="Bullet1"/>
        <w:keepNext/>
      </w:pPr>
      <w:r>
        <w:t>r</w:t>
      </w:r>
      <w:r w:rsidR="004A584D">
        <w:t xml:space="preserve">oyal commissions </w:t>
      </w:r>
      <w:r w:rsidR="0030405B">
        <w:t>are</w:t>
      </w:r>
      <w:r w:rsidR="004A584D">
        <w:t xml:space="preserve"> </w:t>
      </w:r>
      <w:r w:rsidR="004A584D" w:rsidRPr="005633D2">
        <w:rPr>
          <w:i/>
        </w:rPr>
        <w:t>‘reserved for the most serious matters of public importance’</w:t>
      </w:r>
      <w:r>
        <w:t>;</w:t>
      </w:r>
    </w:p>
    <w:p w:rsidR="005633D2" w:rsidRDefault="004A584D" w:rsidP="005633D2">
      <w:pPr>
        <w:pStyle w:val="Bullet1"/>
      </w:pPr>
      <w:r>
        <w:t xml:space="preserve">public inquiries </w:t>
      </w:r>
      <w:r w:rsidR="0030405B">
        <w:t>are</w:t>
      </w:r>
      <w:r>
        <w:t xml:space="preserve"> for </w:t>
      </w:r>
      <w:r w:rsidRPr="005633D2">
        <w:rPr>
          <w:i/>
        </w:rPr>
        <w:t>‘significant or wide-reaching issues that cause a high level of concern to the public and to Ministers’</w:t>
      </w:r>
      <w:r w:rsidR="00976478">
        <w:t>;</w:t>
      </w:r>
      <w:r>
        <w:t xml:space="preserve"> and </w:t>
      </w:r>
    </w:p>
    <w:p w:rsidR="005633D2" w:rsidRDefault="004A584D" w:rsidP="005633D2">
      <w:pPr>
        <w:pStyle w:val="Bullet1"/>
      </w:pPr>
      <w:r>
        <w:t>government inquiries</w:t>
      </w:r>
      <w:r w:rsidR="0030405B">
        <w:t xml:space="preserve"> </w:t>
      </w:r>
      <w:r w:rsidRPr="005633D2">
        <w:rPr>
          <w:i/>
        </w:rPr>
        <w:t>‘typically deal with smaller and more immediate issues where a quick and authoritative answer is required from an independent inquirer’</w:t>
      </w:r>
      <w:r w:rsidRPr="004A584D">
        <w:t>.</w:t>
      </w:r>
      <w:r>
        <w:t xml:space="preserve"> </w:t>
      </w:r>
    </w:p>
    <w:p w:rsidR="004A584D" w:rsidRDefault="005045F0" w:rsidP="005633D2">
      <w:pPr>
        <w:pStyle w:val="BodyText"/>
      </w:pPr>
      <w:r>
        <w:t xml:space="preserve">Other differences relate to how they are </w:t>
      </w:r>
      <w:r w:rsidR="008467BC">
        <w:t>established,</w:t>
      </w:r>
      <w:r>
        <w:t xml:space="preserve"> and </w:t>
      </w:r>
      <w:r w:rsidR="008467BC">
        <w:t xml:space="preserve">how they </w:t>
      </w:r>
      <w:r>
        <w:t>report</w:t>
      </w:r>
      <w:r w:rsidR="008467BC">
        <w:t xml:space="preserve"> back</w:t>
      </w:r>
      <w:r w:rsidR="004A584D">
        <w:t>.</w:t>
      </w:r>
      <w:r w:rsidR="008467BC">
        <w:rPr>
          <w:rStyle w:val="FootnoteReference"/>
        </w:rPr>
        <w:footnoteReference w:id="5"/>
      </w:r>
    </w:p>
    <w:p w:rsidR="0030405B" w:rsidRDefault="0030405B" w:rsidP="0030405B">
      <w:pPr>
        <w:pStyle w:val="BodyText"/>
        <w:widowControl w:val="0"/>
      </w:pPr>
      <w:r>
        <w:t xml:space="preserve">The purpose of </w:t>
      </w:r>
      <w:r w:rsidR="005045F0">
        <w:t xml:space="preserve">an </w:t>
      </w:r>
      <w:r>
        <w:t>inquir</w:t>
      </w:r>
      <w:r w:rsidR="005045F0">
        <w:t>y</w:t>
      </w:r>
      <w:r>
        <w:t xml:space="preserve"> is to inquire</w:t>
      </w:r>
      <w:r w:rsidR="008522DE">
        <w:t xml:space="preserve"> </w:t>
      </w:r>
      <w:r>
        <w:t>and report on matters of public importance.</w:t>
      </w:r>
      <w:r w:rsidR="00D362BC">
        <w:rPr>
          <w:rStyle w:val="FootnoteReference"/>
        </w:rPr>
        <w:footnoteReference w:id="6"/>
      </w:r>
      <w:r>
        <w:t xml:space="preserve"> Inquiries can</w:t>
      </w:r>
      <w:r w:rsidR="00EF5907">
        <w:t>not make determinations about the civil, criminal or disciplinary liability of a person, but they can</w:t>
      </w:r>
      <w:r w:rsidR="008354FD">
        <w:t xml:space="preserve"> (subject to their terms of reference) </w:t>
      </w:r>
      <w:r w:rsidR="00EF5907">
        <w:t>make findings of fault or recommendations that further steps be taken to determine liability.</w:t>
      </w:r>
      <w:r w:rsidR="00D362BC">
        <w:rPr>
          <w:rStyle w:val="FootnoteReference"/>
        </w:rPr>
        <w:footnoteReference w:id="7"/>
      </w:r>
    </w:p>
    <w:p w:rsidR="00D362BC" w:rsidRDefault="00D362BC" w:rsidP="0030405B">
      <w:pPr>
        <w:pStyle w:val="BodyText"/>
        <w:widowControl w:val="0"/>
      </w:pPr>
      <w:r>
        <w:t>I</w:t>
      </w:r>
      <w:r w:rsidR="00576319">
        <w:t xml:space="preserve">nquiries have wide powers to determine their own procedure, </w:t>
      </w:r>
      <w:r>
        <w:t>subject to the rules of natural justice and their terms of reference.</w:t>
      </w:r>
      <w:r>
        <w:rPr>
          <w:rStyle w:val="FootnoteReference"/>
        </w:rPr>
        <w:footnoteReference w:id="8"/>
      </w:r>
      <w:r>
        <w:t xml:space="preserve"> For example, they can decide </w:t>
      </w:r>
      <w:r w:rsidR="00576319">
        <w:t>whether to call witnesses</w:t>
      </w:r>
      <w:r>
        <w:t>, whether to hold hearings, and whether to receive oral or written evidence and submissions.</w:t>
      </w:r>
      <w:r>
        <w:rPr>
          <w:rStyle w:val="FootnoteReference"/>
        </w:rPr>
        <w:footnoteReference w:id="9"/>
      </w:r>
    </w:p>
    <w:p w:rsidR="00576319" w:rsidRDefault="00D362BC" w:rsidP="00576319">
      <w:pPr>
        <w:pStyle w:val="BodyText"/>
      </w:pPr>
      <w:r>
        <w:lastRenderedPageBreak/>
        <w:t>Inquiries can also forbid the publication of certain matters, restrict public access to the inquiry, or hold the inquiry in private.</w:t>
      </w:r>
      <w:r>
        <w:rPr>
          <w:rStyle w:val="FootnoteReference"/>
        </w:rPr>
        <w:footnoteReference w:id="10"/>
      </w:r>
      <w:r w:rsidR="00576319">
        <w:t xml:space="preserve"> </w:t>
      </w:r>
      <w:r w:rsidRPr="00CF4EBE">
        <w:rPr>
          <w:rFonts w:eastAsia="Times New Roman"/>
          <w:lang w:eastAsia="en-NZ"/>
        </w:rPr>
        <w:t>Before doing so</w:t>
      </w:r>
      <w:r>
        <w:rPr>
          <w:rFonts w:eastAsia="Times New Roman"/>
          <w:lang w:eastAsia="en-NZ"/>
        </w:rPr>
        <w:t>, they</w:t>
      </w:r>
      <w:r w:rsidRPr="00CF4EBE">
        <w:rPr>
          <w:rFonts w:eastAsia="Times New Roman"/>
          <w:lang w:eastAsia="en-NZ"/>
        </w:rPr>
        <w:t xml:space="preserve"> must take into account certain specified criteria, such as privacy and the benefits of open justice</w:t>
      </w:r>
      <w:r>
        <w:rPr>
          <w:rFonts w:eastAsia="Times New Roman"/>
          <w:lang w:eastAsia="en-NZ"/>
        </w:rPr>
        <w:t>.</w:t>
      </w:r>
      <w:r>
        <w:rPr>
          <w:rStyle w:val="FootnoteReference"/>
          <w:rFonts w:eastAsia="Times New Roman"/>
          <w:lang w:eastAsia="en-NZ"/>
        </w:rPr>
        <w:footnoteReference w:id="11"/>
      </w:r>
      <w:r>
        <w:t xml:space="preserve"> </w:t>
      </w:r>
      <w:r w:rsidR="0076768E">
        <w:t xml:space="preserve">Offence provisions enable inquiries to deal with behaviour that </w:t>
      </w:r>
      <w:r w:rsidR="00F01CB9">
        <w:t>constitutes</w:t>
      </w:r>
      <w:r w:rsidR="0076768E">
        <w:t xml:space="preserve"> an abuse of their processes.</w:t>
      </w:r>
      <w:r>
        <w:rPr>
          <w:rStyle w:val="FootnoteReference"/>
        </w:rPr>
        <w:footnoteReference w:id="12"/>
      </w:r>
    </w:p>
    <w:p w:rsidR="000C230A" w:rsidRDefault="000C230A" w:rsidP="008279D1">
      <w:pPr>
        <w:pStyle w:val="BodyText"/>
        <w:widowControl w:val="0"/>
      </w:pPr>
      <w:r>
        <w:t>Inquiries cannot make orders for general discovery</w:t>
      </w:r>
      <w:r w:rsidR="00FE2F7F">
        <w:t xml:space="preserve">, but they can require information that is received </w:t>
      </w:r>
      <w:r w:rsidR="004309A9">
        <w:t xml:space="preserve">from one person </w:t>
      </w:r>
      <w:r w:rsidR="00FE2F7F">
        <w:t xml:space="preserve">to be provided to </w:t>
      </w:r>
      <w:r w:rsidR="004309A9">
        <w:t>another person who is partic</w:t>
      </w:r>
      <w:r w:rsidR="008522DE">
        <w:t>i</w:t>
      </w:r>
      <w:r w:rsidR="004309A9">
        <w:t>pating</w:t>
      </w:r>
      <w:r w:rsidR="00C52E28">
        <w:t xml:space="preserve"> in the inquiry</w:t>
      </w:r>
      <w:r>
        <w:t>.</w:t>
      </w:r>
      <w:r w:rsidR="00C52E28">
        <w:rPr>
          <w:rStyle w:val="FootnoteReference"/>
        </w:rPr>
        <w:footnoteReference w:id="13"/>
      </w:r>
      <w:r>
        <w:t xml:space="preserve"> </w:t>
      </w:r>
    </w:p>
    <w:p w:rsidR="0085007B" w:rsidRDefault="0085007B" w:rsidP="008279D1">
      <w:pPr>
        <w:pStyle w:val="BodyText"/>
        <w:widowControl w:val="0"/>
      </w:pPr>
      <w:r>
        <w:t>Legislation is not retrospective,</w:t>
      </w:r>
      <w:r w:rsidR="00CE419A">
        <w:rPr>
          <w:rStyle w:val="FootnoteReference"/>
        </w:rPr>
        <w:footnoteReference w:id="14"/>
      </w:r>
      <w:r>
        <w:t xml:space="preserve"> so the Inquiries Act does no</w:t>
      </w:r>
      <w:r w:rsidR="00DB0536">
        <w:t xml:space="preserve">t apply to </w:t>
      </w:r>
      <w:r w:rsidR="005633D2">
        <w:t xml:space="preserve">historic </w:t>
      </w:r>
      <w:r w:rsidR="00DB0536">
        <w:t>inquiries conducted under the COI Act</w:t>
      </w:r>
      <w:r w:rsidR="0076768E">
        <w:t xml:space="preserve">. </w:t>
      </w:r>
    </w:p>
    <w:p w:rsidR="00885F83" w:rsidRDefault="00FC7DF0" w:rsidP="008279D1">
      <w:pPr>
        <w:pStyle w:val="Heading2"/>
        <w:keepNext w:val="0"/>
        <w:keepLines w:val="0"/>
        <w:widowControl w:val="0"/>
      </w:pPr>
      <w:bookmarkStart w:id="8" w:name="_Toc48123836"/>
      <w:r>
        <w:t xml:space="preserve">Inquiries under the </w:t>
      </w:r>
      <w:r w:rsidR="00782488">
        <w:t>State Sector Act</w:t>
      </w:r>
      <w:bookmarkEnd w:id="8"/>
    </w:p>
    <w:p w:rsidR="005377C0" w:rsidRDefault="008354FE" w:rsidP="008279D1">
      <w:pPr>
        <w:pStyle w:val="BodyText"/>
        <w:widowControl w:val="0"/>
      </w:pPr>
      <w:r>
        <w:t>Relevant parts of the Inquiries Act can also apply to investigations and inquiries under the State Sector Act 1988, where the State Services Commissioner certifies that this is reasonably necessary.</w:t>
      </w:r>
      <w:r>
        <w:rPr>
          <w:rStyle w:val="FootnoteReference"/>
        </w:rPr>
        <w:footnoteReference w:id="15"/>
      </w:r>
      <w:r w:rsidR="00A3176E">
        <w:t xml:space="preserve"> Some of t</w:t>
      </w:r>
      <w:r>
        <w:t>he guidance in this document will also</w:t>
      </w:r>
      <w:r w:rsidR="004B4819">
        <w:t xml:space="preserve"> apply to this type of inquiry</w:t>
      </w:r>
      <w:r>
        <w:t>.</w:t>
      </w:r>
    </w:p>
    <w:p w:rsidR="005377C0" w:rsidRDefault="005377C0" w:rsidP="00CE0C83">
      <w:pPr>
        <w:pStyle w:val="Heading1"/>
        <w:widowControl w:val="0"/>
      </w:pPr>
      <w:bookmarkStart w:id="9" w:name="_Toc48123837"/>
      <w:r>
        <w:t>Information held by inquiries</w:t>
      </w:r>
      <w:bookmarkEnd w:id="9"/>
    </w:p>
    <w:p w:rsidR="009D267A" w:rsidRDefault="00E9663C" w:rsidP="00CE0C83">
      <w:pPr>
        <w:pStyle w:val="BodyText"/>
        <w:keepNext/>
        <w:keepLines/>
        <w:widowControl w:val="0"/>
      </w:pPr>
      <w:r>
        <w:t xml:space="preserve">Inquiries under the Inquiries Act are </w:t>
      </w:r>
      <w:r w:rsidRPr="005633D2">
        <w:rPr>
          <w:b/>
        </w:rPr>
        <w:t>not subject to the OIA</w:t>
      </w:r>
      <w:r>
        <w:t xml:space="preserve">. </w:t>
      </w:r>
    </w:p>
    <w:p w:rsidR="00363EE4" w:rsidRDefault="009D267A" w:rsidP="00CE0C83">
      <w:pPr>
        <w:pStyle w:val="BodyText"/>
        <w:keepNext/>
        <w:keepLines/>
        <w:widowControl w:val="0"/>
      </w:pPr>
      <w:r>
        <w:t>The OIA</w:t>
      </w:r>
      <w:r w:rsidR="00E9663C">
        <w:t xml:space="preserve"> only applies to Ministers and </w:t>
      </w:r>
      <w:r>
        <w:t>listed</w:t>
      </w:r>
      <w:r w:rsidR="00E9663C">
        <w:t xml:space="preserve"> </w:t>
      </w:r>
      <w:r w:rsidR="00E9663C" w:rsidRPr="00E9663C">
        <w:rPr>
          <w:i/>
        </w:rPr>
        <w:t>‘departments’</w:t>
      </w:r>
      <w:r w:rsidR="00E9663C">
        <w:t xml:space="preserve"> and </w:t>
      </w:r>
      <w:r w:rsidR="00E9663C" w:rsidRPr="00E9663C">
        <w:rPr>
          <w:i/>
        </w:rPr>
        <w:t>‘organisations’</w:t>
      </w:r>
      <w:r w:rsidR="00E9663C">
        <w:t xml:space="preserve">. </w:t>
      </w:r>
      <w:r w:rsidR="00CC3807">
        <w:t>I</w:t>
      </w:r>
      <w:r w:rsidR="00E9663C">
        <w:t xml:space="preserve">nquiries under the Inquiries Act are </w:t>
      </w:r>
      <w:r w:rsidR="00E9663C" w:rsidRPr="00563ED7">
        <w:t>not</w:t>
      </w:r>
      <w:r w:rsidR="00E9663C">
        <w:t xml:space="preserve"> </w:t>
      </w:r>
      <w:r w:rsidR="00E9663C" w:rsidRPr="00E9663C">
        <w:rPr>
          <w:i/>
        </w:rPr>
        <w:t>‘departments’</w:t>
      </w:r>
      <w:r w:rsidR="00E9663C">
        <w:t xml:space="preserve"> or </w:t>
      </w:r>
      <w:r w:rsidR="00E9663C" w:rsidRPr="00E9663C">
        <w:rPr>
          <w:i/>
        </w:rPr>
        <w:t>‘organisations’</w:t>
      </w:r>
      <w:r w:rsidR="00E9663C">
        <w:t>.</w:t>
      </w:r>
      <w:r w:rsidR="00DF1022">
        <w:rPr>
          <w:rStyle w:val="FootnoteReference"/>
        </w:rPr>
        <w:footnoteReference w:id="16"/>
      </w:r>
      <w:r w:rsidR="00DF1022">
        <w:t xml:space="preserve"> </w:t>
      </w:r>
      <w:r w:rsidR="00E9663C">
        <w:t>Therefore, people cannot make OIA request</w:t>
      </w:r>
      <w:r w:rsidR="006E4377">
        <w:t>s</w:t>
      </w:r>
      <w:r w:rsidR="00E9663C">
        <w:t xml:space="preserve"> to inquiries for the information</w:t>
      </w:r>
      <w:r w:rsidR="00363EE4">
        <w:t xml:space="preserve"> that they hold.</w:t>
      </w:r>
      <w:r w:rsidR="002E7E62">
        <w:t xml:space="preserve"> </w:t>
      </w:r>
    </w:p>
    <w:p w:rsidR="006E4377" w:rsidRDefault="006F143B" w:rsidP="008279D1">
      <w:pPr>
        <w:pStyle w:val="BodyText"/>
        <w:widowControl w:val="0"/>
      </w:pPr>
      <w:r>
        <w:t xml:space="preserve">However, the Inquiries Act makes it clear that </w:t>
      </w:r>
      <w:r w:rsidRPr="005633D2">
        <w:rPr>
          <w:b/>
        </w:rPr>
        <w:t>once an inquiry has reported, all documents</w:t>
      </w:r>
      <w:r>
        <w:t xml:space="preserve"> created or received during the course of the inquiry, </w:t>
      </w:r>
      <w:r w:rsidRPr="005633D2">
        <w:rPr>
          <w:b/>
        </w:rPr>
        <w:t>are official information</w:t>
      </w:r>
      <w:r>
        <w:t xml:space="preserve">, apart from any matter </w:t>
      </w:r>
      <w:r w:rsidR="002904B2">
        <w:t xml:space="preserve">subject to a </w:t>
      </w:r>
      <w:hyperlink w:anchor="_Non-publication_orders_1" w:history="1">
        <w:r w:rsidR="002904B2" w:rsidRPr="002904B2">
          <w:rPr>
            <w:rStyle w:val="Hyperlink"/>
          </w:rPr>
          <w:t>non-publication order</w:t>
        </w:r>
      </w:hyperlink>
      <w:r w:rsidR="005633D2" w:rsidRPr="005633D2">
        <w:t>,</w:t>
      </w:r>
      <w:r w:rsidR="002904B2">
        <w:t xml:space="preserve"> and any documents relating to the inquiry’s internal deliberations.</w:t>
      </w:r>
      <w:r w:rsidR="004B4819">
        <w:rPr>
          <w:rStyle w:val="FootnoteReference"/>
        </w:rPr>
        <w:footnoteReference w:id="17"/>
      </w:r>
    </w:p>
    <w:p w:rsidR="00214F94" w:rsidRDefault="00214F94" w:rsidP="00C54922">
      <w:pPr>
        <w:pStyle w:val="BodyText"/>
      </w:pPr>
      <w:r>
        <w:t>This does not mean that OIA requests can be made to an inquiry after it reports. Once an inquiry reports</w:t>
      </w:r>
      <w:r w:rsidR="00CD2E0E">
        <w:t>,</w:t>
      </w:r>
      <w:r>
        <w:t xml:space="preserve"> its job is done, and it ceases to exist.</w:t>
      </w:r>
      <w:r w:rsidR="005E3577">
        <w:t xml:space="preserve"> </w:t>
      </w:r>
      <w:r w:rsidR="00425E8E">
        <w:t>However, the inquiry’s records will be held by the</w:t>
      </w:r>
      <w:r w:rsidR="00E149B8">
        <w:t xml:space="preserve"> </w:t>
      </w:r>
      <w:r w:rsidR="004E03A2">
        <w:t xml:space="preserve">administering </w:t>
      </w:r>
      <w:r w:rsidR="00E149B8">
        <w:t>public</w:t>
      </w:r>
      <w:r w:rsidR="00425E8E">
        <w:t xml:space="preserve"> agency</w:t>
      </w:r>
      <w:r w:rsidR="006C70AD">
        <w:t>, which is u</w:t>
      </w:r>
      <w:r w:rsidR="00E149B8">
        <w:t xml:space="preserve">sually </w:t>
      </w:r>
      <w:r w:rsidR="00425E8E">
        <w:t>the Department of Internal Affairs</w:t>
      </w:r>
      <w:r w:rsidR="00910C2A">
        <w:t xml:space="preserve"> (DIA)</w:t>
      </w:r>
      <w:r w:rsidR="00425E8E">
        <w:t>.</w:t>
      </w:r>
    </w:p>
    <w:p w:rsidR="002B7E48" w:rsidRDefault="00910C2A" w:rsidP="00C54922">
      <w:pPr>
        <w:pStyle w:val="BodyText"/>
      </w:pPr>
      <w:r>
        <w:lastRenderedPageBreak/>
        <w:t>DIA</w:t>
      </w:r>
      <w:r w:rsidR="002B7E48">
        <w:t xml:space="preserve"> </w:t>
      </w:r>
      <w:r w:rsidR="00A3176E">
        <w:t xml:space="preserve">(or the other agency responsible for </w:t>
      </w:r>
      <w:r w:rsidR="004E03A2">
        <w:t xml:space="preserve">administering </w:t>
      </w:r>
      <w:r w:rsidR="00A3176E">
        <w:t xml:space="preserve">the inquiry) </w:t>
      </w:r>
      <w:r w:rsidR="002B7E48">
        <w:t xml:space="preserve">must, as soon as reasonably practicable after the inquiry has reported, ‘dispose’ of the </w:t>
      </w:r>
      <w:r w:rsidR="006C70AD">
        <w:t xml:space="preserve">inquiry’s </w:t>
      </w:r>
      <w:r w:rsidR="002B7E48">
        <w:t>records</w:t>
      </w:r>
      <w:r>
        <w:t>,</w:t>
      </w:r>
      <w:r w:rsidR="002B7E48">
        <w:t xml:space="preserve"> as authorised by the Chief Archivist.</w:t>
      </w:r>
      <w:r w:rsidR="00761AC5">
        <w:rPr>
          <w:rStyle w:val="FootnoteReference"/>
        </w:rPr>
        <w:footnoteReference w:id="18"/>
      </w:r>
      <w:r w:rsidR="002B7E48">
        <w:t xml:space="preserve"> ‘Dispose’ does not mean ‘destroy’, although disposal can include destruction. It can also mean (and is more likely to mean in this context)</w:t>
      </w:r>
      <w:r w:rsidR="00AA5140">
        <w:t xml:space="preserve"> transferring the records </w:t>
      </w:r>
      <w:r>
        <w:t>to Archives New Zealand</w:t>
      </w:r>
      <w:r w:rsidR="00CC3807">
        <w:t xml:space="preserve"> (Archives)</w:t>
      </w:r>
      <w:r>
        <w:t>.</w:t>
      </w:r>
    </w:p>
    <w:p w:rsidR="00BC3256" w:rsidRDefault="00BC3256" w:rsidP="00BC3256">
      <w:pPr>
        <w:pStyle w:val="Heading2"/>
      </w:pPr>
      <w:bookmarkStart w:id="10" w:name="_Toc48123838"/>
      <w:r>
        <w:t>Before the records are transferred to Archives</w:t>
      </w:r>
      <w:bookmarkEnd w:id="10"/>
      <w:r>
        <w:t xml:space="preserve"> </w:t>
      </w:r>
    </w:p>
    <w:p w:rsidR="00ED633D" w:rsidRDefault="006E524F" w:rsidP="00C54922">
      <w:pPr>
        <w:pStyle w:val="BodyText"/>
      </w:pPr>
      <w:r>
        <w:t>While</w:t>
      </w:r>
      <w:r w:rsidR="005E3577">
        <w:t xml:space="preserve"> DIA </w:t>
      </w:r>
      <w:r w:rsidR="00A3176E">
        <w:t xml:space="preserve">(or the other </w:t>
      </w:r>
      <w:r w:rsidR="004E03A2">
        <w:t>administering</w:t>
      </w:r>
      <w:r w:rsidR="006C70AD">
        <w:t xml:space="preserve"> </w:t>
      </w:r>
      <w:r w:rsidR="00A3176E">
        <w:t xml:space="preserve">agency) </w:t>
      </w:r>
      <w:r>
        <w:t xml:space="preserve">holds the records, they will be subject to the </w:t>
      </w:r>
      <w:r w:rsidR="00510F14">
        <w:t xml:space="preserve">OIA, </w:t>
      </w:r>
      <w:r w:rsidR="00735E0D">
        <w:t xml:space="preserve">unless they are </w:t>
      </w:r>
      <w:r w:rsidR="00735E0D" w:rsidRPr="00510F14">
        <w:t>excluded</w:t>
      </w:r>
      <w:r w:rsidR="00735E0D">
        <w:t xml:space="preserve"> from the definition of </w:t>
      </w:r>
      <w:r w:rsidR="00735E0D">
        <w:rPr>
          <w:i/>
        </w:rPr>
        <w:t xml:space="preserve">‘official information’ </w:t>
      </w:r>
      <w:r w:rsidR="00735E0D">
        <w:t>under that Act</w:t>
      </w:r>
      <w:r>
        <w:t xml:space="preserve">. </w:t>
      </w:r>
      <w:r w:rsidR="004820C7">
        <w:t>The exclusion</w:t>
      </w:r>
      <w:r w:rsidR="00510F14">
        <w:t xml:space="preserve"> most likely to be relevant </w:t>
      </w:r>
      <w:r w:rsidR="004820C7">
        <w:t>is</w:t>
      </w:r>
      <w:r w:rsidR="00510F14">
        <w:t xml:space="preserve"> discussed </w:t>
      </w:r>
      <w:hyperlink w:anchor="_Information_excluded_from" w:history="1">
        <w:r w:rsidR="00510F14" w:rsidRPr="006C70AD">
          <w:rPr>
            <w:rStyle w:val="Hyperlink"/>
          </w:rPr>
          <w:t>below</w:t>
        </w:r>
      </w:hyperlink>
      <w:r w:rsidR="00510F14">
        <w:t xml:space="preserve">. </w:t>
      </w:r>
    </w:p>
    <w:p w:rsidR="00D7648D" w:rsidRDefault="00510F14" w:rsidP="00C54922">
      <w:pPr>
        <w:pStyle w:val="BodyText"/>
      </w:pPr>
      <w:r>
        <w:t xml:space="preserve">One exclusion that will </w:t>
      </w:r>
      <w:r w:rsidRPr="00ED633D">
        <w:rPr>
          <w:b/>
        </w:rPr>
        <w:t>not</w:t>
      </w:r>
      <w:r>
        <w:t xml:space="preserve"> be relevant is paragraph (f) of the definition of </w:t>
      </w:r>
      <w:r>
        <w:rPr>
          <w:i/>
        </w:rPr>
        <w:t>‘official information’</w:t>
      </w:r>
      <w:r w:rsidR="00ED633D">
        <w:t>,</w:t>
      </w:r>
      <w:r>
        <w:rPr>
          <w:i/>
        </w:rPr>
        <w:t xml:space="preserve"> </w:t>
      </w:r>
      <w:r>
        <w:t>which excludes i</w:t>
      </w:r>
      <w:r w:rsidRPr="00510F14">
        <w:t xml:space="preserve">nformation held </w:t>
      </w:r>
      <w:r w:rsidRPr="00ED633D">
        <w:t>solely</w:t>
      </w:r>
      <w:r w:rsidRPr="00510F14">
        <w:t xml:space="preserve"> as an agent</w:t>
      </w:r>
      <w:r w:rsidR="00ED633D">
        <w:t>,</w:t>
      </w:r>
      <w:r w:rsidRPr="00510F14">
        <w:t xml:space="preserve"> or for the sole purpose of safe custody</w:t>
      </w:r>
      <w:r w:rsidR="00ED633D">
        <w:t>,</w:t>
      </w:r>
      <w:r w:rsidRPr="00510F14">
        <w:t xml:space="preserve"> on behalf of another person not subject to the </w:t>
      </w:r>
      <w:r>
        <w:t xml:space="preserve">OIA. </w:t>
      </w:r>
      <w:r w:rsidR="00ED633D">
        <w:t xml:space="preserve">For that exclusion to apply, the information must be held for </w:t>
      </w:r>
      <w:r w:rsidR="00ED633D" w:rsidRPr="00ED633D">
        <w:rPr>
          <w:b/>
        </w:rPr>
        <w:t>no other purpose</w:t>
      </w:r>
      <w:r w:rsidR="00ED633D">
        <w:t xml:space="preserve">. In this case, DIA </w:t>
      </w:r>
      <w:r w:rsidR="004E37E5">
        <w:t>(or the other</w:t>
      </w:r>
      <w:r w:rsidR="006C70AD">
        <w:t xml:space="preserve"> </w:t>
      </w:r>
      <w:r w:rsidR="004E03A2">
        <w:t>administering</w:t>
      </w:r>
      <w:r w:rsidR="004E37E5">
        <w:t xml:space="preserve"> agency) </w:t>
      </w:r>
      <w:r w:rsidR="00ED633D">
        <w:t>holds the inquiry’s records for its own purposes, that is, fulfilling its statutory obligation under section 3</w:t>
      </w:r>
      <w:r w:rsidR="00CC3807">
        <w:t>3</w:t>
      </w:r>
      <w:r w:rsidR="00563ED7">
        <w:t xml:space="preserve"> of the Inquiries Act</w:t>
      </w:r>
      <w:r w:rsidR="00ED633D">
        <w:t xml:space="preserve"> to transfer or otherwise dispose of them, and to determine the access status of any records transferred to Archives.</w:t>
      </w:r>
    </w:p>
    <w:p w:rsidR="00A85B7A" w:rsidRDefault="00A85B7A" w:rsidP="00C54922">
      <w:pPr>
        <w:pStyle w:val="BodyText"/>
      </w:pPr>
      <w:r>
        <w:t xml:space="preserve">Accordingly, OIA requests may be made to DIA when it holds inquiry records that have not yet been transferred to Archives. </w:t>
      </w:r>
      <w:r w:rsidR="002744E7">
        <w:t xml:space="preserve">However, DIA may need to transfer such requests if </w:t>
      </w:r>
      <w:r w:rsidR="009D267A">
        <w:t>the information at issue is</w:t>
      </w:r>
      <w:r w:rsidR="002744E7">
        <w:t xml:space="preserve"> more closely connected with the functions of another agency.</w:t>
      </w:r>
      <w:r w:rsidR="002744E7">
        <w:rPr>
          <w:rStyle w:val="FootnoteReference"/>
        </w:rPr>
        <w:footnoteReference w:id="19"/>
      </w:r>
      <w:r w:rsidR="002744E7">
        <w:t xml:space="preserve"> </w:t>
      </w:r>
    </w:p>
    <w:p w:rsidR="000B3883" w:rsidRDefault="000B3883" w:rsidP="000B3883">
      <w:pPr>
        <w:pStyle w:val="Heading2"/>
      </w:pPr>
      <w:bookmarkStart w:id="11" w:name="_Toc48123839"/>
      <w:r>
        <w:t>After the records are transferred to Archives</w:t>
      </w:r>
      <w:bookmarkEnd w:id="11"/>
      <w:r>
        <w:t xml:space="preserve"> </w:t>
      </w:r>
    </w:p>
    <w:p w:rsidR="004E37E5" w:rsidRDefault="003218D6" w:rsidP="00C54922">
      <w:pPr>
        <w:pStyle w:val="BodyText"/>
      </w:pPr>
      <w:r>
        <w:t xml:space="preserve">Inquiry records that are transferred to Archives will be </w:t>
      </w:r>
      <w:r w:rsidR="008D3DAA">
        <w:t>classified</w:t>
      </w:r>
      <w:r>
        <w:t xml:space="preserve"> as either </w:t>
      </w:r>
      <w:r w:rsidR="00CB0152">
        <w:t>‘open access</w:t>
      </w:r>
      <w:r w:rsidR="00363EE4">
        <w:t xml:space="preserve">’ </w:t>
      </w:r>
      <w:r w:rsidR="00CB0152">
        <w:t>or ‘restricted access</w:t>
      </w:r>
      <w:r w:rsidR="00363EE4">
        <w:t>’</w:t>
      </w:r>
      <w:r w:rsidR="00CB0152">
        <w:t xml:space="preserve"> records.</w:t>
      </w:r>
      <w:r w:rsidR="001E59DB">
        <w:rPr>
          <w:rStyle w:val="FootnoteReference"/>
        </w:rPr>
        <w:footnoteReference w:id="20"/>
      </w:r>
      <w:r w:rsidR="00C17794">
        <w:t xml:space="preserve"> This </w:t>
      </w:r>
      <w:r w:rsidR="00D86241">
        <w:t>decision is made by</w:t>
      </w:r>
      <w:r w:rsidR="00C17794">
        <w:t xml:space="preserve"> DIA</w:t>
      </w:r>
      <w:r w:rsidR="00D86241">
        <w:t xml:space="preserve"> (or the other </w:t>
      </w:r>
      <w:r w:rsidR="004E03A2">
        <w:t>administering</w:t>
      </w:r>
      <w:r w:rsidR="00BC3256">
        <w:t xml:space="preserve"> </w:t>
      </w:r>
      <w:r w:rsidR="00D86241">
        <w:t>agency)</w:t>
      </w:r>
      <w:r w:rsidR="00C17794">
        <w:t xml:space="preserve">, having regard to any </w:t>
      </w:r>
      <w:hyperlink w:anchor="_Non-publication_orders_(section" w:history="1">
        <w:r w:rsidR="00C17794" w:rsidRPr="00BC3256">
          <w:rPr>
            <w:rStyle w:val="Hyperlink"/>
          </w:rPr>
          <w:t>non-publication orders</w:t>
        </w:r>
      </w:hyperlink>
      <w:r w:rsidR="00C17794">
        <w:t xml:space="preserve"> made by the inquiry.</w:t>
      </w:r>
      <w:r w:rsidR="00C17794">
        <w:rPr>
          <w:rStyle w:val="FootnoteReference"/>
        </w:rPr>
        <w:footnoteReference w:id="21"/>
      </w:r>
      <w:r w:rsidR="00EF02DE">
        <w:t xml:space="preserve"> </w:t>
      </w:r>
    </w:p>
    <w:p w:rsidR="004E37E5" w:rsidRDefault="00EF02DE" w:rsidP="00C54922">
      <w:pPr>
        <w:pStyle w:val="BodyText"/>
      </w:pPr>
      <w:r>
        <w:t xml:space="preserve">Anyone can access </w:t>
      </w:r>
      <w:r w:rsidRPr="004E37E5">
        <w:rPr>
          <w:b/>
        </w:rPr>
        <w:t>open access</w:t>
      </w:r>
      <w:r>
        <w:t xml:space="preserve"> records from Archives free of charge.</w:t>
      </w:r>
      <w:r w:rsidR="008D3DAA">
        <w:rPr>
          <w:rStyle w:val="FootnoteReference"/>
        </w:rPr>
        <w:footnoteReference w:id="22"/>
      </w:r>
      <w:r>
        <w:t xml:space="preserve"> There is no need to make an OIA request, and if one is made, there may be a basis for refusing it under section 18(d) of the OIA because the information is publicly available.</w:t>
      </w:r>
      <w:r>
        <w:rPr>
          <w:rStyle w:val="FootnoteReference"/>
        </w:rPr>
        <w:footnoteReference w:id="23"/>
      </w:r>
      <w:r w:rsidR="001C72E7">
        <w:t xml:space="preserve"> </w:t>
      </w:r>
    </w:p>
    <w:p w:rsidR="0027657D" w:rsidRDefault="00A3176E" w:rsidP="005F4FE3">
      <w:pPr>
        <w:pStyle w:val="BodyText"/>
      </w:pPr>
      <w:r w:rsidRPr="00A3176E">
        <w:rPr>
          <w:b/>
        </w:rPr>
        <w:t>Restricted access</w:t>
      </w:r>
      <w:r>
        <w:t xml:space="preserve"> </w:t>
      </w:r>
      <w:r w:rsidR="008D3DAA">
        <w:t>can be</w:t>
      </w:r>
      <w:r w:rsidR="005B762F">
        <w:t xml:space="preserve"> for a specified period of time</w:t>
      </w:r>
      <w:r w:rsidR="008D3DAA">
        <w:t xml:space="preserve"> or subject to conditions</w:t>
      </w:r>
      <w:r w:rsidR="005B762F">
        <w:t>.</w:t>
      </w:r>
      <w:r w:rsidR="005B762F">
        <w:rPr>
          <w:rStyle w:val="FootnoteReference"/>
        </w:rPr>
        <w:footnoteReference w:id="24"/>
      </w:r>
      <w:r w:rsidR="005B762F">
        <w:t xml:space="preserve"> </w:t>
      </w:r>
      <w:r w:rsidR="008D3DAA">
        <w:t xml:space="preserve">DIA (or the other </w:t>
      </w:r>
      <w:r w:rsidR="004E03A2">
        <w:t>administering</w:t>
      </w:r>
      <w:r w:rsidR="004447D1">
        <w:t xml:space="preserve"> </w:t>
      </w:r>
      <w:r w:rsidR="008D3DAA">
        <w:t xml:space="preserve">agency) can </w:t>
      </w:r>
      <w:r w:rsidR="004A6CDE">
        <w:t xml:space="preserve">change this classification at any time. </w:t>
      </w:r>
      <w:r w:rsidR="008D3DAA">
        <w:t xml:space="preserve">People seeking access to restricted records can </w:t>
      </w:r>
      <w:r w:rsidR="004A6CDE">
        <w:t>ask</w:t>
      </w:r>
      <w:r w:rsidR="008D3DAA">
        <w:t xml:space="preserve"> DIA (or the other </w:t>
      </w:r>
      <w:r w:rsidR="004E03A2">
        <w:t>administering</w:t>
      </w:r>
      <w:r w:rsidR="00BC3256">
        <w:t xml:space="preserve"> </w:t>
      </w:r>
      <w:r w:rsidR="008D3DAA">
        <w:t xml:space="preserve">agency) </w:t>
      </w:r>
      <w:r w:rsidR="004A6CDE">
        <w:t>to change</w:t>
      </w:r>
      <w:r w:rsidR="008D3DAA">
        <w:t xml:space="preserve"> the classification, </w:t>
      </w:r>
      <w:r w:rsidR="008D3DAA">
        <w:lastRenderedPageBreak/>
        <w:t xml:space="preserve">or </w:t>
      </w:r>
      <w:r w:rsidR="004A6CDE">
        <w:t xml:space="preserve">request the records under the </w:t>
      </w:r>
      <w:r w:rsidR="00A05FC5">
        <w:t>OIA,</w:t>
      </w:r>
      <w:r w:rsidR="008D3DAA">
        <w:rPr>
          <w:rStyle w:val="FootnoteReference"/>
        </w:rPr>
        <w:footnoteReference w:id="25"/>
      </w:r>
      <w:r w:rsidR="008D3DAA">
        <w:t xml:space="preserve"> </w:t>
      </w:r>
      <w:r w:rsidR="004A6CDE">
        <w:t xml:space="preserve">provided they are not </w:t>
      </w:r>
      <w:hyperlink w:anchor="_Exclusions" w:history="1">
        <w:r w:rsidRPr="004A6CDE">
          <w:rPr>
            <w:rStyle w:val="Hyperlink"/>
          </w:rPr>
          <w:t>excluded</w:t>
        </w:r>
      </w:hyperlink>
      <w:r>
        <w:t xml:space="preserve"> from the definition of </w:t>
      </w:r>
      <w:r>
        <w:rPr>
          <w:i/>
        </w:rPr>
        <w:t xml:space="preserve">‘official information’ </w:t>
      </w:r>
      <w:r>
        <w:t>under that Act.</w:t>
      </w:r>
      <w:r w:rsidR="005F4FE3">
        <w:t xml:space="preserve"> Again, DIA may need to transfer such requests if </w:t>
      </w:r>
      <w:r w:rsidR="009D267A">
        <w:t>the information at issue is</w:t>
      </w:r>
      <w:r w:rsidR="005F4FE3">
        <w:t xml:space="preserve"> more closely connected with the functions of another agency.</w:t>
      </w:r>
      <w:r w:rsidR="005F4FE3">
        <w:rPr>
          <w:rStyle w:val="FootnoteReference"/>
        </w:rPr>
        <w:footnoteReference w:id="26"/>
      </w:r>
    </w:p>
    <w:p w:rsidR="005F4FE3" w:rsidRDefault="005F4FE3" w:rsidP="005F4FE3">
      <w:pPr>
        <w:pStyle w:val="Whitespace"/>
      </w:pPr>
    </w:p>
    <w:tbl>
      <w:tblPr>
        <w:tblStyle w:val="TableGrid"/>
        <w:tblW w:w="9297" w:type="dxa"/>
        <w:tblLayout w:type="fixed"/>
        <w:tblLook w:val="0620" w:firstRow="1" w:lastRow="0" w:firstColumn="0" w:lastColumn="0" w:noHBand="1" w:noVBand="1"/>
        <w:tblCaption w:val="Table for formatting purposes"/>
      </w:tblPr>
      <w:tblGrid>
        <w:gridCol w:w="3114"/>
        <w:gridCol w:w="6183"/>
      </w:tblGrid>
      <w:tr w:rsidR="00106F72" w:rsidTr="004447D1">
        <w:trPr>
          <w:cnfStyle w:val="100000000000" w:firstRow="1" w:lastRow="0" w:firstColumn="0" w:lastColumn="0" w:oddVBand="0" w:evenVBand="0" w:oddHBand="0" w:evenHBand="0" w:firstRowFirstColumn="0" w:firstRowLastColumn="0" w:lastRowFirstColumn="0" w:lastRowLastColumn="0"/>
          <w:cantSplit/>
        </w:trPr>
        <w:tc>
          <w:tcPr>
            <w:tcW w:w="3114" w:type="dxa"/>
          </w:tcPr>
          <w:p w:rsidR="00106F72" w:rsidRDefault="00106F72" w:rsidP="00106F72">
            <w:pPr>
              <w:pStyle w:val="Tableheadingrow1"/>
            </w:pPr>
            <w:r>
              <w:t xml:space="preserve">Status </w:t>
            </w:r>
          </w:p>
        </w:tc>
        <w:tc>
          <w:tcPr>
            <w:tcW w:w="6183" w:type="dxa"/>
          </w:tcPr>
          <w:p w:rsidR="00106F72" w:rsidRDefault="00106F72" w:rsidP="00106F72">
            <w:pPr>
              <w:pStyle w:val="Tableheadingrow1"/>
            </w:pPr>
            <w:r>
              <w:t>Can I ask for information that would be held by an inquiry</w:t>
            </w:r>
            <w:r w:rsidR="006C0F9B">
              <w:t xml:space="preserve"> under the OIA</w:t>
            </w:r>
            <w:r>
              <w:t>?</w:t>
            </w:r>
          </w:p>
        </w:tc>
      </w:tr>
      <w:tr w:rsidR="00106F72" w:rsidTr="004447D1">
        <w:trPr>
          <w:cantSplit/>
        </w:trPr>
        <w:tc>
          <w:tcPr>
            <w:tcW w:w="3114" w:type="dxa"/>
            <w:shd w:val="clear" w:color="auto" w:fill="E9E9E9"/>
          </w:tcPr>
          <w:p w:rsidR="00106F72" w:rsidRDefault="00106F72" w:rsidP="00106F72">
            <w:pPr>
              <w:pStyle w:val="Tablesinglespacedparagraph"/>
            </w:pPr>
            <w:r>
              <w:t>While the inquiry is underway</w:t>
            </w:r>
          </w:p>
        </w:tc>
        <w:tc>
          <w:tcPr>
            <w:tcW w:w="6183" w:type="dxa"/>
          </w:tcPr>
          <w:p w:rsidR="00106F72" w:rsidRDefault="00106F72" w:rsidP="00F8566B">
            <w:pPr>
              <w:pStyle w:val="Tablesinglespacedparagraph"/>
            </w:pPr>
            <w:r>
              <w:t>No</w:t>
            </w:r>
            <w:r w:rsidR="00F8566B">
              <w:t>, not from the inquiry</w:t>
            </w:r>
            <w:r>
              <w:t>. Inquiries are not subject to the OIA</w:t>
            </w:r>
            <w:r w:rsidR="006C0F9B">
              <w:t>.</w:t>
            </w:r>
          </w:p>
        </w:tc>
      </w:tr>
      <w:tr w:rsidR="00106F72" w:rsidTr="004447D1">
        <w:trPr>
          <w:cantSplit/>
        </w:trPr>
        <w:tc>
          <w:tcPr>
            <w:tcW w:w="3114" w:type="dxa"/>
            <w:shd w:val="clear" w:color="auto" w:fill="E9E9E9"/>
          </w:tcPr>
          <w:p w:rsidR="00106F72" w:rsidRDefault="006C0F9B" w:rsidP="00CC3807">
            <w:pPr>
              <w:pStyle w:val="Tablesinglespacedparagraph"/>
            </w:pPr>
            <w:r>
              <w:t>After</w:t>
            </w:r>
            <w:r w:rsidR="00106F72">
              <w:t xml:space="preserve"> the inquiry has reported, but before the records have been transferred to Archives </w:t>
            </w:r>
          </w:p>
        </w:tc>
        <w:tc>
          <w:tcPr>
            <w:tcW w:w="6183" w:type="dxa"/>
          </w:tcPr>
          <w:p w:rsidR="00106F72" w:rsidRDefault="00106F72" w:rsidP="006C0F9B">
            <w:pPr>
              <w:pStyle w:val="Tablesinglespacedparagraph"/>
            </w:pPr>
            <w:r>
              <w:t>Yes</w:t>
            </w:r>
            <w:r w:rsidR="006C0F9B">
              <w:t xml:space="preserve">. You can ask DIA (or the other agency that was responsible for </w:t>
            </w:r>
            <w:r w:rsidR="004E03A2">
              <w:t xml:space="preserve">administering </w:t>
            </w:r>
            <w:r w:rsidR="006C0F9B">
              <w:t>the inquiry)</w:t>
            </w:r>
            <w:r w:rsidR="00A44A01">
              <w:t>,</w:t>
            </w:r>
            <w:r w:rsidR="006C0F9B">
              <w:t xml:space="preserve"> </w:t>
            </w:r>
            <w:r>
              <w:t xml:space="preserve">provided the information is not </w:t>
            </w:r>
            <w:hyperlink w:anchor="_Exclusions" w:history="1">
              <w:r w:rsidRPr="00106F72">
                <w:rPr>
                  <w:rStyle w:val="Hyperlink"/>
                </w:rPr>
                <w:t>excluded</w:t>
              </w:r>
            </w:hyperlink>
            <w:r>
              <w:t xml:space="preserve"> from the definition of official information</w:t>
            </w:r>
            <w:r w:rsidR="006C0F9B">
              <w:t>.</w:t>
            </w:r>
          </w:p>
        </w:tc>
      </w:tr>
      <w:tr w:rsidR="00106F72" w:rsidTr="004447D1">
        <w:trPr>
          <w:cantSplit/>
        </w:trPr>
        <w:tc>
          <w:tcPr>
            <w:tcW w:w="3114" w:type="dxa"/>
            <w:shd w:val="clear" w:color="auto" w:fill="E9E9E9"/>
          </w:tcPr>
          <w:p w:rsidR="00106F72" w:rsidRDefault="006C0F9B" w:rsidP="00CC3807">
            <w:pPr>
              <w:pStyle w:val="Tablesinglespacedparagraph"/>
            </w:pPr>
            <w:r>
              <w:t>After the records have been transferred to Archives—open access records</w:t>
            </w:r>
          </w:p>
        </w:tc>
        <w:tc>
          <w:tcPr>
            <w:tcW w:w="6183" w:type="dxa"/>
          </w:tcPr>
          <w:p w:rsidR="006C0F9B" w:rsidRDefault="006C0F9B" w:rsidP="00106F72">
            <w:pPr>
              <w:pStyle w:val="Tablesinglespacedparagraph"/>
            </w:pPr>
            <w:r>
              <w:t>You don’t need to request open access records under the OIA; they’re already publicly available.</w:t>
            </w:r>
            <w:r w:rsidR="008E1748">
              <w:t xml:space="preserve"> Visit </w:t>
            </w:r>
            <w:hyperlink r:id="rId8" w:history="1">
              <w:r w:rsidR="008E1748" w:rsidRPr="005B3AEF">
                <w:rPr>
                  <w:rStyle w:val="Hyperlink"/>
                </w:rPr>
                <w:t>www.archives.govt.nz</w:t>
              </w:r>
            </w:hyperlink>
            <w:r w:rsidR="008E1748">
              <w:t xml:space="preserve"> for more information.</w:t>
            </w:r>
          </w:p>
        </w:tc>
      </w:tr>
      <w:tr w:rsidR="00106F72" w:rsidTr="004447D1">
        <w:trPr>
          <w:cantSplit/>
        </w:trPr>
        <w:tc>
          <w:tcPr>
            <w:tcW w:w="3114" w:type="dxa"/>
            <w:shd w:val="clear" w:color="auto" w:fill="E9E9E9"/>
          </w:tcPr>
          <w:p w:rsidR="00106F72" w:rsidRDefault="006C0F9B" w:rsidP="00CC3807">
            <w:pPr>
              <w:pStyle w:val="Tablesinglespacedparagraph"/>
            </w:pPr>
            <w:r>
              <w:t>After the records have been transferred to Archives—restricted access records</w:t>
            </w:r>
          </w:p>
        </w:tc>
        <w:tc>
          <w:tcPr>
            <w:tcW w:w="6183" w:type="dxa"/>
          </w:tcPr>
          <w:p w:rsidR="006C0F9B" w:rsidRDefault="006C0F9B" w:rsidP="00106F72">
            <w:pPr>
              <w:pStyle w:val="Tablesinglespacedparagraph"/>
            </w:pPr>
            <w:r>
              <w:t xml:space="preserve">Yes. You can ask DIA (or the other agency that was responsible for </w:t>
            </w:r>
            <w:r w:rsidR="004E03A2">
              <w:t xml:space="preserve">administering </w:t>
            </w:r>
            <w:r>
              <w:t xml:space="preserve">the inquiry) provided the information is not </w:t>
            </w:r>
            <w:hyperlink w:anchor="_Exclusions" w:history="1">
              <w:r w:rsidRPr="00106F72">
                <w:rPr>
                  <w:rStyle w:val="Hyperlink"/>
                </w:rPr>
                <w:t>excluded</w:t>
              </w:r>
            </w:hyperlink>
            <w:r>
              <w:t xml:space="preserve"> from the definition of official information. </w:t>
            </w:r>
          </w:p>
          <w:p w:rsidR="00106F72" w:rsidRDefault="006C0F9B" w:rsidP="00106F72">
            <w:pPr>
              <w:pStyle w:val="Tablesinglespacedparagraph"/>
            </w:pPr>
            <w:r>
              <w:t xml:space="preserve">You can also ask DIA (or the other agency that was responsible for </w:t>
            </w:r>
            <w:r w:rsidR="004E03A2">
              <w:t xml:space="preserve">administering </w:t>
            </w:r>
            <w:r>
              <w:t>the inquiry) to re-classify the records as op</w:t>
            </w:r>
            <w:r w:rsidR="000A3255">
              <w:t>en</w:t>
            </w:r>
            <w:r w:rsidR="00032CA3">
              <w:t xml:space="preserve"> access records</w:t>
            </w:r>
            <w:r w:rsidR="000A3255">
              <w:t>.</w:t>
            </w:r>
          </w:p>
        </w:tc>
      </w:tr>
    </w:tbl>
    <w:p w:rsidR="00E03F19" w:rsidRDefault="006F27C8" w:rsidP="002767B1">
      <w:pPr>
        <w:pStyle w:val="Heading1"/>
        <w:keepNext w:val="0"/>
        <w:keepLines w:val="0"/>
        <w:widowControl w:val="0"/>
        <w:spacing w:after="240"/>
      </w:pPr>
      <w:bookmarkStart w:id="12" w:name="_Information_held_by"/>
      <w:bookmarkStart w:id="13" w:name="_Toc48123840"/>
      <w:bookmarkEnd w:id="12"/>
      <w:r>
        <w:t xml:space="preserve">Information held </w:t>
      </w:r>
      <w:r w:rsidR="002E2473">
        <w:t>by other</w:t>
      </w:r>
      <w:r w:rsidR="002A7344">
        <w:t xml:space="preserve"> government</w:t>
      </w:r>
      <w:r>
        <w:t xml:space="preserve"> agencies</w:t>
      </w:r>
      <w:bookmarkEnd w:id="13"/>
    </w:p>
    <w:p w:rsidR="00ED3998" w:rsidRDefault="00AE4034" w:rsidP="002767B1">
      <w:pPr>
        <w:pStyle w:val="BodyText"/>
        <w:widowControl w:val="0"/>
      </w:pPr>
      <w:r>
        <w:t>With very few exceptions, g</w:t>
      </w:r>
      <w:r w:rsidR="00983A47" w:rsidRPr="00983A47">
        <w:t xml:space="preserve">overnment agencies that interact with </w:t>
      </w:r>
      <w:r w:rsidR="00983A47">
        <w:t>inquiries</w:t>
      </w:r>
      <w:r w:rsidR="00983A47" w:rsidRPr="00983A47">
        <w:t xml:space="preserve"> </w:t>
      </w:r>
      <w:r w:rsidR="00983A47" w:rsidRPr="00697C83">
        <w:rPr>
          <w:b/>
        </w:rPr>
        <w:t>are subject to the OIA</w:t>
      </w:r>
      <w:r w:rsidR="00983A47">
        <w:t xml:space="preserve">. </w:t>
      </w:r>
      <w:r w:rsidR="00451405">
        <w:t xml:space="preserve">The OIA applies to any information they hold about an inquiry, or the matters under inquiry, unless that information is </w:t>
      </w:r>
      <w:hyperlink w:anchor="_Information_excluded_from" w:history="1">
        <w:r w:rsidR="00451405" w:rsidRPr="001F3DC7">
          <w:rPr>
            <w:rStyle w:val="Hyperlink"/>
          </w:rPr>
          <w:t>excluded</w:t>
        </w:r>
      </w:hyperlink>
      <w:r w:rsidR="00451405">
        <w:t xml:space="preserve"> from the definition of </w:t>
      </w:r>
      <w:r w:rsidR="00451405">
        <w:rPr>
          <w:i/>
        </w:rPr>
        <w:t>‘official information’.</w:t>
      </w:r>
      <w:r w:rsidR="00A91B8C">
        <w:t xml:space="preserve"> </w:t>
      </w:r>
      <w:r w:rsidR="001C7601" w:rsidRPr="00ED3998">
        <w:t>Nothing in the Inquiries Act affects this position.</w:t>
      </w:r>
      <w:r w:rsidR="001C7601">
        <w:t xml:space="preserve"> </w:t>
      </w:r>
    </w:p>
    <w:p w:rsidR="002C4F03" w:rsidRDefault="002C4F03" w:rsidP="002767B1">
      <w:pPr>
        <w:pStyle w:val="Heading2"/>
        <w:keepNext w:val="0"/>
        <w:keepLines w:val="0"/>
        <w:widowControl w:val="0"/>
      </w:pPr>
      <w:bookmarkStart w:id="14" w:name="_Toc48123841"/>
      <w:r>
        <w:t>The effect of section 32 of the Inquiries Act</w:t>
      </w:r>
      <w:bookmarkEnd w:id="14"/>
      <w:r>
        <w:t xml:space="preserve"> </w:t>
      </w:r>
    </w:p>
    <w:p w:rsidR="00ED3998" w:rsidRDefault="00BD3B44" w:rsidP="002767B1">
      <w:pPr>
        <w:pStyle w:val="BodyText"/>
        <w:widowControl w:val="0"/>
      </w:pPr>
      <w:r>
        <w:t>In the past, some agencies have</w:t>
      </w:r>
      <w:r w:rsidR="001C7601">
        <w:t xml:space="preserve"> argued that section 32</w:t>
      </w:r>
      <w:r w:rsidR="00ED3998">
        <w:t>(1)</w:t>
      </w:r>
      <w:r w:rsidR="001C7601">
        <w:t xml:space="preserve"> of the Inquiries A</w:t>
      </w:r>
      <w:r w:rsidR="00204338">
        <w:t>ct means that information about the subject matter of an inquiry</w:t>
      </w:r>
      <w:r w:rsidR="001C7601">
        <w:t xml:space="preserve"> held by government agencies is </w:t>
      </w:r>
      <w:r w:rsidR="001C7601" w:rsidRPr="00ED3998">
        <w:rPr>
          <w:b/>
        </w:rPr>
        <w:t>not</w:t>
      </w:r>
      <w:r w:rsidR="001C7601">
        <w:t xml:space="preserve"> </w:t>
      </w:r>
      <w:r w:rsidR="001C7601">
        <w:rPr>
          <w:i/>
        </w:rPr>
        <w:t xml:space="preserve">‘official information’ </w:t>
      </w:r>
      <w:r w:rsidR="001C7601" w:rsidRPr="00244160">
        <w:t>until</w:t>
      </w:r>
      <w:r w:rsidR="001C7601">
        <w:t xml:space="preserve"> the inquiry reports</w:t>
      </w:r>
      <w:r w:rsidR="002A553F">
        <w:t xml:space="preserve"> (see </w:t>
      </w:r>
      <w:hyperlink r:id="rId9" w:history="1">
        <w:r w:rsidR="002A553F" w:rsidRPr="00C60FFB">
          <w:rPr>
            <w:rStyle w:val="Hyperlink"/>
          </w:rPr>
          <w:t>491854 &amp; 491000</w:t>
        </w:r>
      </w:hyperlink>
      <w:r w:rsidR="002A553F">
        <w:t>)</w:t>
      </w:r>
      <w:r w:rsidR="001C7601">
        <w:t xml:space="preserve">. </w:t>
      </w:r>
    </w:p>
    <w:p w:rsidR="00ED3998" w:rsidRDefault="00ED3998" w:rsidP="002767B1">
      <w:pPr>
        <w:pStyle w:val="BodyText"/>
        <w:widowControl w:val="0"/>
      </w:pPr>
      <w:r>
        <w:t>That section states</w:t>
      </w:r>
      <w:r w:rsidR="002C4F03">
        <w:t>:</w:t>
      </w:r>
    </w:p>
    <w:p w:rsidR="002B245A" w:rsidRPr="002B245A" w:rsidRDefault="002B245A" w:rsidP="002767B1">
      <w:pPr>
        <w:pStyle w:val="BQLegstyle-10"/>
        <w:keepNext w:val="0"/>
        <w:widowControl w:val="0"/>
        <w:rPr>
          <w:lang w:eastAsia="en-NZ"/>
        </w:rPr>
      </w:pPr>
      <w:r w:rsidRPr="002B245A">
        <w:rPr>
          <w:lang w:eastAsia="en-NZ"/>
        </w:rPr>
        <w:t xml:space="preserve">32 </w:t>
      </w:r>
      <w:r>
        <w:rPr>
          <w:lang w:eastAsia="en-NZ"/>
        </w:rPr>
        <w:tab/>
      </w:r>
      <w:r w:rsidRPr="002B245A">
        <w:rPr>
          <w:lang w:eastAsia="en-NZ"/>
        </w:rPr>
        <w:t xml:space="preserve">Application of </w:t>
      </w:r>
      <w:r w:rsidR="000737C4">
        <w:rPr>
          <w:lang w:eastAsia="en-NZ"/>
        </w:rPr>
        <w:t>[the OIA]</w:t>
      </w:r>
    </w:p>
    <w:p w:rsidR="002B245A" w:rsidRDefault="002B245A" w:rsidP="002767B1">
      <w:pPr>
        <w:pStyle w:val="BQLegstyle-1"/>
        <w:widowControl w:val="0"/>
        <w:rPr>
          <w:lang w:eastAsia="en-NZ"/>
        </w:rPr>
      </w:pPr>
      <w:r w:rsidRPr="00DA4B58">
        <w:rPr>
          <w:rFonts w:asciiTheme="minorHAnsi" w:eastAsia="Times New Roman" w:hAnsiTheme="minorHAnsi" w:cstheme="minorHAnsi"/>
          <w:color w:val="333333"/>
          <w:sz w:val="25"/>
          <w:szCs w:val="25"/>
          <w:lang w:eastAsia="en-NZ"/>
        </w:rPr>
        <w:t>(1)</w:t>
      </w:r>
      <w:r>
        <w:rPr>
          <w:rFonts w:ascii="Arial" w:eastAsia="Times New Roman" w:hAnsi="Arial" w:cs="Arial"/>
          <w:color w:val="333333"/>
          <w:sz w:val="25"/>
          <w:szCs w:val="25"/>
          <w:lang w:eastAsia="en-NZ"/>
        </w:rPr>
        <w:t xml:space="preserve"> </w:t>
      </w:r>
      <w:r>
        <w:rPr>
          <w:rFonts w:ascii="Arial" w:eastAsia="Times New Roman" w:hAnsi="Arial" w:cs="Arial"/>
          <w:color w:val="333333"/>
          <w:sz w:val="25"/>
          <w:szCs w:val="25"/>
          <w:lang w:eastAsia="en-NZ"/>
        </w:rPr>
        <w:tab/>
      </w:r>
      <w:r w:rsidRPr="002B245A">
        <w:rPr>
          <w:lang w:eastAsia="en-NZ"/>
        </w:rPr>
        <w:t xml:space="preserve">When an inquiry has reported in accordance with </w:t>
      </w:r>
      <w:bookmarkStart w:id="15" w:name="DLM1566145"/>
      <w:r w:rsidRPr="00D97937">
        <w:rPr>
          <w:lang w:eastAsia="en-NZ"/>
        </w:rPr>
        <w:t>section 12</w:t>
      </w:r>
      <w:bookmarkEnd w:id="15"/>
      <w:r w:rsidRPr="002B245A">
        <w:rPr>
          <w:lang w:eastAsia="en-NZ"/>
        </w:rPr>
        <w:t>, all documents created by the inquiry or received in the course of the inquiry are</w:t>
      </w:r>
      <w:r w:rsidR="00CA56EA">
        <w:rPr>
          <w:lang w:eastAsia="en-NZ"/>
        </w:rPr>
        <w:t xml:space="preserve"> …</w:t>
      </w:r>
      <w:r w:rsidRPr="002B245A">
        <w:rPr>
          <w:lang w:eastAsia="en-NZ"/>
        </w:rPr>
        <w:t xml:space="preserve"> official </w:t>
      </w:r>
      <w:r w:rsidRPr="002B245A">
        <w:rPr>
          <w:lang w:eastAsia="en-NZ"/>
        </w:rPr>
        <w:lastRenderedPageBreak/>
        <w:t xml:space="preserve">information for the purposes of the </w:t>
      </w:r>
      <w:bookmarkStart w:id="16" w:name="DLM64784"/>
      <w:r w:rsidR="000737C4">
        <w:rPr>
          <w:lang w:eastAsia="en-NZ"/>
        </w:rPr>
        <w:t>[OIA]</w:t>
      </w:r>
      <w:bookmarkEnd w:id="16"/>
      <w:r w:rsidRPr="002B245A">
        <w:rPr>
          <w:lang w:eastAsia="en-NZ"/>
        </w:rPr>
        <w:t>.</w:t>
      </w:r>
    </w:p>
    <w:p w:rsidR="002A553F" w:rsidRDefault="00D97937" w:rsidP="002767B1">
      <w:pPr>
        <w:pStyle w:val="BodyText"/>
        <w:widowControl w:val="0"/>
      </w:pPr>
      <w:r>
        <w:t>What</w:t>
      </w:r>
      <w:r w:rsidR="001C7601">
        <w:t xml:space="preserve"> section 32 </w:t>
      </w:r>
      <w:r>
        <w:t>does</w:t>
      </w:r>
      <w:r w:rsidR="00547B64">
        <w:t>,</w:t>
      </w:r>
      <w:r>
        <w:t xml:space="preserve"> is </w:t>
      </w:r>
      <w:r w:rsidR="00A05FC5">
        <w:t>turn</w:t>
      </w:r>
      <w:r w:rsidR="001C7601">
        <w:t xml:space="preserve"> information </w:t>
      </w:r>
      <w:r w:rsidR="00A05FC5">
        <w:t xml:space="preserve">held by an inquiry into </w:t>
      </w:r>
      <w:r w:rsidR="001C7601" w:rsidRPr="001C7601">
        <w:rPr>
          <w:i/>
        </w:rPr>
        <w:t>‘official information’</w:t>
      </w:r>
      <w:r w:rsidR="001C7601">
        <w:t xml:space="preserve"> after </w:t>
      </w:r>
      <w:r w:rsidR="00A05FC5">
        <w:t>that</w:t>
      </w:r>
      <w:r w:rsidR="001C7601">
        <w:t xml:space="preserve"> inquiry reports. It does </w:t>
      </w:r>
      <w:r w:rsidR="00BD3B44">
        <w:t>not affect the status of information</w:t>
      </w:r>
      <w:r w:rsidR="00A05FC5">
        <w:t xml:space="preserve"> that is already</w:t>
      </w:r>
      <w:r w:rsidR="001C7601">
        <w:t xml:space="preserve"> </w:t>
      </w:r>
      <w:r w:rsidR="001C7601">
        <w:rPr>
          <w:i/>
        </w:rPr>
        <w:t>‘official information’</w:t>
      </w:r>
      <w:r w:rsidR="00AD4672">
        <w:rPr>
          <w:i/>
        </w:rPr>
        <w:t xml:space="preserve"> </w:t>
      </w:r>
      <w:r w:rsidR="00AD4672">
        <w:t>because it is held by an agency subject to the OIA</w:t>
      </w:r>
      <w:r w:rsidR="001C7601">
        <w:t xml:space="preserve">. </w:t>
      </w:r>
      <w:r w:rsidR="002A553F">
        <w:t xml:space="preserve">The OIA is an important </w:t>
      </w:r>
      <w:r w:rsidR="002A553F" w:rsidRPr="00BD1FBA">
        <w:rPr>
          <w:i/>
        </w:rPr>
        <w:t>‘constitutional measure’</w:t>
      </w:r>
      <w:r w:rsidR="002A553F">
        <w:t xml:space="preserve">, and Parliament must </w:t>
      </w:r>
      <w:r>
        <w:t>have made</w:t>
      </w:r>
      <w:r w:rsidR="002A553F">
        <w:t xml:space="preserve"> very clear its intention to override that Act by way of other legislation. </w:t>
      </w:r>
      <w:r w:rsidR="0010692F">
        <w:t xml:space="preserve">It is not clear that this was the purpose or intent of section 32. </w:t>
      </w:r>
      <w:r w:rsidR="002A553F">
        <w:t xml:space="preserve"> </w:t>
      </w:r>
    </w:p>
    <w:p w:rsidR="00FD4E4E" w:rsidRDefault="002C4F03" w:rsidP="002767B1">
      <w:pPr>
        <w:pStyle w:val="BodyText"/>
        <w:widowControl w:val="0"/>
      </w:pPr>
      <w:r>
        <w:t>Having said that</w:t>
      </w:r>
      <w:r w:rsidR="0010692F">
        <w:t>, j</w:t>
      </w:r>
      <w:r w:rsidR="000D19FB">
        <w:t xml:space="preserve">ust because this information is </w:t>
      </w:r>
      <w:r w:rsidR="000D19FB" w:rsidRPr="000D19FB">
        <w:rPr>
          <w:i/>
        </w:rPr>
        <w:t>‘official information’</w:t>
      </w:r>
      <w:r w:rsidR="000D19FB">
        <w:t xml:space="preserve"> does not </w:t>
      </w:r>
      <w:r w:rsidR="00F8566B">
        <w:t xml:space="preserve">necessarily </w:t>
      </w:r>
      <w:r w:rsidR="000D19FB">
        <w:t xml:space="preserve">mean that it must be released. </w:t>
      </w:r>
      <w:r w:rsidR="00451405">
        <w:t xml:space="preserve">There may be justifiable reasons for withholding the information. Some of these reasons are discussed </w:t>
      </w:r>
      <w:hyperlink w:anchor="_Good_reasons_for" w:history="1">
        <w:r w:rsidR="00451405" w:rsidRPr="00451405">
          <w:rPr>
            <w:rStyle w:val="Hyperlink"/>
          </w:rPr>
          <w:t>below</w:t>
        </w:r>
      </w:hyperlink>
      <w:r w:rsidR="00451405">
        <w:t>.</w:t>
      </w:r>
    </w:p>
    <w:p w:rsidR="002F7B45" w:rsidRDefault="002D31C8" w:rsidP="002767B1">
      <w:pPr>
        <w:pStyle w:val="Heading1"/>
        <w:keepNext w:val="0"/>
        <w:keepLines w:val="0"/>
        <w:widowControl w:val="0"/>
      </w:pPr>
      <w:bookmarkStart w:id="17" w:name="_Information_excluded_from"/>
      <w:bookmarkStart w:id="18" w:name="_Toc48123842"/>
      <w:bookmarkEnd w:id="17"/>
      <w:r>
        <w:t>Information excluded from the OIA</w:t>
      </w:r>
      <w:bookmarkEnd w:id="18"/>
    </w:p>
    <w:p w:rsidR="0006376B" w:rsidRDefault="0006376B" w:rsidP="002767B1">
      <w:pPr>
        <w:pStyle w:val="BodyText"/>
        <w:widowControl w:val="0"/>
      </w:pPr>
      <w:bookmarkStart w:id="19" w:name="_Exclusions"/>
      <w:bookmarkEnd w:id="19"/>
      <w:r>
        <w:t xml:space="preserve">Although information may be </w:t>
      </w:r>
      <w:r w:rsidRPr="0006376B">
        <w:rPr>
          <w:b/>
        </w:rPr>
        <w:t>physically</w:t>
      </w:r>
      <w:r>
        <w:t xml:space="preserve"> held by an agency subject to the OIA, there is some information that the OIA was never intended to apply to. </w:t>
      </w:r>
    </w:p>
    <w:p w:rsidR="0006376B" w:rsidRPr="0006376B" w:rsidRDefault="0006376B" w:rsidP="002767B1">
      <w:pPr>
        <w:pStyle w:val="BodyText"/>
        <w:widowControl w:val="0"/>
      </w:pPr>
      <w:r>
        <w:t xml:space="preserve">The OIA excludes certain types of information from the definition of </w:t>
      </w:r>
      <w:r>
        <w:rPr>
          <w:i/>
        </w:rPr>
        <w:t>‘official information’</w:t>
      </w:r>
      <w:r>
        <w:t>.</w:t>
      </w:r>
      <w:r>
        <w:rPr>
          <w:rStyle w:val="FootnoteReference"/>
        </w:rPr>
        <w:footnoteReference w:id="27"/>
      </w:r>
      <w:r>
        <w:t xml:space="preserve"> </w:t>
      </w:r>
      <w:r w:rsidR="001B3F6B">
        <w:t xml:space="preserve">The relevant exclusion in this context is found </w:t>
      </w:r>
      <w:r w:rsidR="005E1DD9">
        <w:t xml:space="preserve">in </w:t>
      </w:r>
      <w:r w:rsidR="001B3F6B">
        <w:t>paragraph (ha)</w:t>
      </w:r>
      <w:r>
        <w:t xml:space="preserve">. </w:t>
      </w:r>
      <w:r w:rsidR="002A5EE1">
        <w:t xml:space="preserve">(See also </w:t>
      </w:r>
      <w:hyperlink w:anchor="ha" w:history="1">
        <w:r w:rsidR="002A5EE1" w:rsidRPr="002A5EE1">
          <w:rPr>
            <w:rStyle w:val="Hyperlink"/>
          </w:rPr>
          <w:t>What about the exclusion in paragraph (h)?</w:t>
        </w:r>
      </w:hyperlink>
      <w:r w:rsidR="002A5EE1">
        <w:t>).</w:t>
      </w:r>
    </w:p>
    <w:p w:rsidR="00B30810" w:rsidRDefault="00B30810" w:rsidP="002767B1">
      <w:pPr>
        <w:pStyle w:val="Heading2"/>
        <w:keepNext w:val="0"/>
        <w:keepLines w:val="0"/>
        <w:widowControl w:val="0"/>
      </w:pPr>
      <w:bookmarkStart w:id="20" w:name="_Paragraph_(ha)"/>
      <w:bookmarkStart w:id="21" w:name="_Toc48123843"/>
      <w:bookmarkEnd w:id="20"/>
      <w:r>
        <w:t>Paragraph (h</w:t>
      </w:r>
      <w:r w:rsidR="006336D5">
        <w:t>a</w:t>
      </w:r>
      <w:r>
        <w:t>)</w:t>
      </w:r>
      <w:bookmarkEnd w:id="21"/>
    </w:p>
    <w:p w:rsidR="009E3A89" w:rsidRPr="00BC604D" w:rsidRDefault="009E3A89" w:rsidP="002767B1">
      <w:pPr>
        <w:pStyle w:val="BodyText"/>
        <w:widowControl w:val="0"/>
      </w:pPr>
      <w:r>
        <w:t xml:space="preserve">Paragraph (ha) </w:t>
      </w:r>
      <w:r w:rsidR="0078255D">
        <w:t xml:space="preserve">says that </w:t>
      </w:r>
      <w:r w:rsidR="0078255D">
        <w:rPr>
          <w:i/>
        </w:rPr>
        <w:t xml:space="preserve">‘official information’ </w:t>
      </w:r>
      <w:r w:rsidR="0078255D">
        <w:t xml:space="preserve">does not include: </w:t>
      </w:r>
    </w:p>
    <w:p w:rsidR="00FE205C" w:rsidRDefault="009E3A89" w:rsidP="002767B1">
      <w:pPr>
        <w:pStyle w:val="Bullet1"/>
        <w:widowControl w:val="0"/>
      </w:pPr>
      <w:r>
        <w:t xml:space="preserve">any matter subject to </w:t>
      </w:r>
      <w:r w:rsidR="00B601BD">
        <w:t xml:space="preserve">a </w:t>
      </w:r>
      <w:hyperlink w:anchor="_Non-publication_orders_1" w:history="1">
        <w:r w:rsidR="00B601BD" w:rsidRPr="00965052">
          <w:rPr>
            <w:rStyle w:val="Hyperlink"/>
          </w:rPr>
          <w:t>non-publication order</w:t>
        </w:r>
      </w:hyperlink>
      <w:r w:rsidR="00B601BD">
        <w:t xml:space="preserve"> under</w:t>
      </w:r>
      <w:r>
        <w:t xml:space="preserve"> section 15(1)﻿(a) of the Inquiries Act; and</w:t>
      </w:r>
    </w:p>
    <w:p w:rsidR="009E3A89" w:rsidRDefault="009E3A89" w:rsidP="002767B1">
      <w:pPr>
        <w:pStyle w:val="Bullet1"/>
        <w:widowControl w:val="0"/>
      </w:pPr>
      <w:r>
        <w:t>documents that relate to the internal deliberations of the inquiry and are created by a member of an inquiry in the course of the inquiry or provided to the inquiry by an officer of the inquiry.</w:t>
      </w:r>
    </w:p>
    <w:p w:rsidR="00892A93" w:rsidRDefault="008D03D0" w:rsidP="002767B1">
      <w:pPr>
        <w:pStyle w:val="BodyText"/>
        <w:widowControl w:val="0"/>
      </w:pPr>
      <w:r>
        <w:t>This exclusion was inserted</w:t>
      </w:r>
      <w:r w:rsidR="006131CB">
        <w:t xml:space="preserve"> in the OIA</w:t>
      </w:r>
      <w:r>
        <w:t xml:space="preserve"> when the Inquiries Act was passed, to apply specifically to inquiries under that Act. It is </w:t>
      </w:r>
      <w:r w:rsidR="002B0F0C">
        <w:t>mirrored exactly in section 32(2) of the Inquiries Act.</w:t>
      </w:r>
    </w:p>
    <w:p w:rsidR="002B0F0C" w:rsidRDefault="00965052" w:rsidP="002767B1">
      <w:pPr>
        <w:pStyle w:val="Heading2"/>
        <w:keepNext w:val="0"/>
        <w:keepLines w:val="0"/>
        <w:widowControl w:val="0"/>
      </w:pPr>
      <w:bookmarkStart w:id="22" w:name="_Non-publication_orders_1"/>
      <w:bookmarkStart w:id="23" w:name="_Non-publication_orders_(section"/>
      <w:bookmarkStart w:id="24" w:name="_Toc48123844"/>
      <w:bookmarkEnd w:id="22"/>
      <w:bookmarkEnd w:id="23"/>
      <w:r>
        <w:t>Non-publication orders</w:t>
      </w:r>
      <w:bookmarkEnd w:id="24"/>
      <w:r w:rsidR="00364C1B">
        <w:t xml:space="preserve"> </w:t>
      </w:r>
    </w:p>
    <w:p w:rsidR="0017149C" w:rsidRDefault="0017149C" w:rsidP="002767B1">
      <w:pPr>
        <w:pStyle w:val="BodyText"/>
        <w:widowControl w:val="0"/>
      </w:pPr>
      <w:r>
        <w:t xml:space="preserve">Section 15(1)(a) </w:t>
      </w:r>
      <w:r w:rsidR="0060640A">
        <w:t xml:space="preserve">of the Inquiries Act </w:t>
      </w:r>
      <w:r>
        <w:t>empowers inquiries to make orders forbidding publication of:</w:t>
      </w:r>
    </w:p>
    <w:p w:rsidR="0017149C" w:rsidRDefault="0017149C" w:rsidP="002767B1">
      <w:pPr>
        <w:pStyle w:val="Bullet1"/>
        <w:widowControl w:val="0"/>
      </w:pPr>
      <w:r>
        <w:t>the whole or part of any evidence or submissions presented to the inquiry;</w:t>
      </w:r>
    </w:p>
    <w:p w:rsidR="0017149C" w:rsidRDefault="0017149C" w:rsidP="002767B1">
      <w:pPr>
        <w:pStyle w:val="Bullet1"/>
        <w:widowControl w:val="0"/>
      </w:pPr>
      <w:r>
        <w:t>any report or account of the evidence or submissions;</w:t>
      </w:r>
    </w:p>
    <w:p w:rsidR="0017149C" w:rsidRDefault="0017149C" w:rsidP="002767B1">
      <w:pPr>
        <w:pStyle w:val="Bullet1"/>
        <w:widowControl w:val="0"/>
      </w:pPr>
      <w:r>
        <w:lastRenderedPageBreak/>
        <w:t xml:space="preserve">the names </w:t>
      </w:r>
      <w:r w:rsidR="00B52995">
        <w:t>or other</w:t>
      </w:r>
      <w:r>
        <w:t xml:space="preserve"> identifying details of witnesses </w:t>
      </w:r>
      <w:r w:rsidR="00DA5708">
        <w:t>or</w:t>
      </w:r>
      <w:r>
        <w:t xml:space="preserve"> participants; and</w:t>
      </w:r>
    </w:p>
    <w:p w:rsidR="0017149C" w:rsidRDefault="0017149C" w:rsidP="002767B1">
      <w:pPr>
        <w:pStyle w:val="Bullet1"/>
        <w:widowControl w:val="0"/>
      </w:pPr>
      <w:r>
        <w:t>any rulings of the inquiry.</w:t>
      </w:r>
    </w:p>
    <w:p w:rsidR="000235EF" w:rsidRDefault="00364C1B" w:rsidP="002767B1">
      <w:pPr>
        <w:pStyle w:val="Bullet1"/>
        <w:widowControl w:val="0"/>
        <w:numPr>
          <w:ilvl w:val="0"/>
          <w:numId w:val="0"/>
        </w:numPr>
        <w:ind w:left="567" w:hanging="567"/>
      </w:pPr>
      <w:r>
        <w:t>Before making such an order, inquiries must take into account:</w:t>
      </w:r>
      <w:r w:rsidR="000235EF">
        <w:rPr>
          <w:rStyle w:val="FootnoteReference"/>
        </w:rPr>
        <w:footnoteReference w:id="28"/>
      </w:r>
    </w:p>
    <w:p w:rsidR="000235EF" w:rsidRDefault="000235EF" w:rsidP="002767B1">
      <w:pPr>
        <w:pStyle w:val="Bullet1"/>
        <w:widowControl w:val="0"/>
      </w:pPr>
      <w:r>
        <w:t xml:space="preserve">the benefits of observing the principle of open justice; </w:t>
      </w:r>
    </w:p>
    <w:p w:rsidR="000235EF" w:rsidRDefault="000235EF" w:rsidP="002767B1">
      <w:pPr>
        <w:pStyle w:val="Bullet1"/>
        <w:widowControl w:val="0"/>
      </w:pPr>
      <w:r>
        <w:t xml:space="preserve">the risk of prejudice to public confidence in the proceedings of the inquiry; </w:t>
      </w:r>
    </w:p>
    <w:p w:rsidR="000235EF" w:rsidRDefault="000235EF" w:rsidP="002767B1">
      <w:pPr>
        <w:pStyle w:val="Bullet1"/>
        <w:widowControl w:val="0"/>
      </w:pPr>
      <w:r>
        <w:t xml:space="preserve">the need for the inquiry to ascertain the facts properly; </w:t>
      </w:r>
    </w:p>
    <w:p w:rsidR="000235EF" w:rsidRDefault="000235EF" w:rsidP="002767B1">
      <w:pPr>
        <w:pStyle w:val="Bullet1"/>
        <w:widowControl w:val="0"/>
      </w:pPr>
      <w:r>
        <w:t xml:space="preserve">the extent to which public proceedings may prejudice the security, defence, or economic interests of New Zealand; </w:t>
      </w:r>
    </w:p>
    <w:p w:rsidR="000235EF" w:rsidRDefault="000235EF" w:rsidP="002767B1">
      <w:pPr>
        <w:pStyle w:val="Bullet1"/>
        <w:widowControl w:val="0"/>
      </w:pPr>
      <w:r>
        <w:t xml:space="preserve">the privacy interests of any individual; </w:t>
      </w:r>
    </w:p>
    <w:p w:rsidR="000235EF" w:rsidRDefault="000235EF" w:rsidP="002767B1">
      <w:pPr>
        <w:pStyle w:val="Bullet1"/>
        <w:widowControl w:val="0"/>
      </w:pPr>
      <w:r>
        <w:t>whether it would interfere with the administration of justice, including any person’s right to a fair trial, if an order were not made; and</w:t>
      </w:r>
    </w:p>
    <w:p w:rsidR="00364C1B" w:rsidRDefault="000235EF" w:rsidP="002767B1">
      <w:pPr>
        <w:pStyle w:val="Bullet1"/>
        <w:widowControl w:val="0"/>
      </w:pPr>
      <w:r>
        <w:t>any other countervailing interests.</w:t>
      </w:r>
    </w:p>
    <w:p w:rsidR="0017149C" w:rsidRDefault="00364C1B" w:rsidP="002767B1">
      <w:pPr>
        <w:pStyle w:val="BodyText"/>
        <w:widowControl w:val="0"/>
      </w:pPr>
      <w:r>
        <w:t xml:space="preserve">Any information that is subject to one of these </w:t>
      </w:r>
      <w:r w:rsidR="008D54B0">
        <w:t xml:space="preserve">non-publication </w:t>
      </w:r>
      <w:r>
        <w:t xml:space="preserve">orders will </w:t>
      </w:r>
      <w:r w:rsidR="008D54B0">
        <w:t xml:space="preserve">not be </w:t>
      </w:r>
      <w:r w:rsidR="008D54B0">
        <w:rPr>
          <w:i/>
        </w:rPr>
        <w:t xml:space="preserve">‘official information’. </w:t>
      </w:r>
      <w:r w:rsidR="006E0D22">
        <w:t xml:space="preserve">Requests </w:t>
      </w:r>
      <w:r w:rsidR="00314669">
        <w:t xml:space="preserve">for such information </w:t>
      </w:r>
      <w:r w:rsidR="006E0D22">
        <w:t xml:space="preserve">may be refused under </w:t>
      </w:r>
      <w:hyperlink w:anchor="section18g" w:history="1">
        <w:r w:rsidR="006E0D22" w:rsidRPr="00314669">
          <w:rPr>
            <w:rStyle w:val="Hyperlink"/>
          </w:rPr>
          <w:t>section 18(g)</w:t>
        </w:r>
      </w:hyperlink>
      <w:r w:rsidR="006E0D22">
        <w:t xml:space="preserve"> of the OIA. </w:t>
      </w:r>
    </w:p>
    <w:p w:rsidR="001B3F6B" w:rsidRDefault="001B3F6B" w:rsidP="002767B1">
      <w:pPr>
        <w:pStyle w:val="Heading2"/>
        <w:keepNext w:val="0"/>
        <w:keepLines w:val="0"/>
        <w:widowControl w:val="0"/>
      </w:pPr>
      <w:bookmarkStart w:id="25" w:name="_Toc48123845"/>
      <w:r>
        <w:t>Guidance for inquiries making non-publication orders</w:t>
      </w:r>
      <w:bookmarkEnd w:id="25"/>
    </w:p>
    <w:p w:rsidR="001B3F6B" w:rsidRDefault="001B3F6B" w:rsidP="002767B1">
      <w:pPr>
        <w:pStyle w:val="BodyText"/>
        <w:widowControl w:val="0"/>
        <w:rPr>
          <w:rFonts w:eastAsia="Times New Roman"/>
          <w:lang w:eastAsia="en-NZ"/>
        </w:rPr>
      </w:pPr>
      <w:r>
        <w:rPr>
          <w:rFonts w:eastAsia="Times New Roman"/>
          <w:lang w:eastAsia="en-NZ"/>
        </w:rPr>
        <w:t xml:space="preserve">Non-publication orders can be made at any time, and may be temporary and subject to further review, or permanent. </w:t>
      </w:r>
    </w:p>
    <w:p w:rsidR="00091A1A" w:rsidRDefault="00091A1A" w:rsidP="002767B1">
      <w:pPr>
        <w:pStyle w:val="BodyText"/>
        <w:widowControl w:val="0"/>
        <w:rPr>
          <w:rFonts w:eastAsia="Times New Roman"/>
          <w:lang w:eastAsia="en-NZ"/>
        </w:rPr>
      </w:pPr>
      <w:r>
        <w:rPr>
          <w:rFonts w:eastAsia="Times New Roman"/>
          <w:lang w:eastAsia="en-NZ"/>
        </w:rPr>
        <w:t>Non-publication orders should be very specific about the information they apply to, and the information they do not apply to. It is not necessary to m</w:t>
      </w:r>
      <w:r w:rsidR="00B96FB5">
        <w:rPr>
          <w:rFonts w:eastAsia="Times New Roman"/>
          <w:lang w:eastAsia="en-NZ"/>
        </w:rPr>
        <w:t xml:space="preserve">ake overly broad orders because the OIA is capable of protecting official information held by agencies where that is in the public interest (see </w:t>
      </w:r>
      <w:hyperlink w:anchor="_Reasons_for_refusal_1" w:history="1">
        <w:r w:rsidR="00B96FB5" w:rsidRPr="00B96FB5">
          <w:rPr>
            <w:rStyle w:val="Hyperlink"/>
            <w:rFonts w:eastAsia="Times New Roman"/>
            <w:lang w:eastAsia="en-NZ"/>
          </w:rPr>
          <w:t>Reasons for refusal</w:t>
        </w:r>
      </w:hyperlink>
      <w:r w:rsidR="00B96FB5">
        <w:rPr>
          <w:rFonts w:eastAsia="Times New Roman"/>
          <w:lang w:eastAsia="en-NZ"/>
        </w:rPr>
        <w:t xml:space="preserve"> below). </w:t>
      </w:r>
    </w:p>
    <w:p w:rsidR="00091A1A" w:rsidRPr="00091A1A" w:rsidRDefault="00091A1A" w:rsidP="002767B1">
      <w:pPr>
        <w:pStyle w:val="BodyText"/>
        <w:widowControl w:val="0"/>
        <w:rPr>
          <w:rFonts w:eastAsia="Times New Roman"/>
          <w:lang w:eastAsia="en-NZ"/>
        </w:rPr>
      </w:pPr>
      <w:r w:rsidRPr="006E3561">
        <w:rPr>
          <w:rFonts w:eastAsia="Times New Roman"/>
          <w:lang w:eastAsia="en-NZ"/>
        </w:rPr>
        <w:t>O</w:t>
      </w:r>
      <w:r w:rsidR="00A47FE8" w:rsidRPr="006E3561">
        <w:rPr>
          <w:rFonts w:eastAsia="Times New Roman"/>
          <w:lang w:eastAsia="en-NZ"/>
        </w:rPr>
        <w:t>rders issued by the Royal Commission of Inquiry Into the Attac</w:t>
      </w:r>
      <w:r w:rsidR="006954BE" w:rsidRPr="006E3561">
        <w:rPr>
          <w:rFonts w:eastAsia="Times New Roman"/>
          <w:lang w:eastAsia="en-NZ"/>
        </w:rPr>
        <w:t>k</w:t>
      </w:r>
      <w:r w:rsidR="00A47FE8" w:rsidRPr="006E3561">
        <w:rPr>
          <w:rFonts w:eastAsia="Times New Roman"/>
          <w:lang w:eastAsia="en-NZ"/>
        </w:rPr>
        <w:t xml:space="preserve"> on Christchurch Mosques</w:t>
      </w:r>
      <w:r w:rsidR="00A47FE8">
        <w:rPr>
          <w:rFonts w:eastAsia="Times New Roman"/>
          <w:lang w:eastAsia="en-NZ"/>
        </w:rPr>
        <w:t xml:space="preserve">, </w:t>
      </w:r>
      <w:r>
        <w:rPr>
          <w:rFonts w:eastAsia="Times New Roman"/>
          <w:lang w:eastAsia="en-NZ"/>
        </w:rPr>
        <w:t>reflect good practice in stating clearly that they</w:t>
      </w:r>
      <w:r w:rsidR="00A47FE8">
        <w:rPr>
          <w:rFonts w:eastAsia="Times New Roman"/>
          <w:lang w:eastAsia="en-NZ"/>
        </w:rPr>
        <w:t xml:space="preserve"> </w:t>
      </w:r>
      <w:r w:rsidR="00CC7D24" w:rsidRPr="00CC7D24">
        <w:rPr>
          <w:rFonts w:eastAsia="Times New Roman"/>
          <w:i/>
          <w:lang w:eastAsia="en-NZ"/>
        </w:rPr>
        <w:t>‘</w:t>
      </w:r>
      <w:r w:rsidR="00A47FE8" w:rsidRPr="00CC7D24">
        <w:rPr>
          <w:rFonts w:eastAsia="Times New Roman"/>
          <w:i/>
          <w:lang w:eastAsia="en-NZ"/>
        </w:rPr>
        <w:t>do not apply (and thus do not preclude the operation of the Official Information Act 1982) in respect of material held by State sector agencies which was not created for the specific purposes of the Royal Commission</w:t>
      </w:r>
      <w:r w:rsidR="00CC7D24" w:rsidRPr="00CC7D24">
        <w:rPr>
          <w:rFonts w:eastAsia="Times New Roman"/>
          <w:i/>
          <w:lang w:eastAsia="en-NZ"/>
        </w:rPr>
        <w:t>’</w:t>
      </w:r>
      <w:r w:rsidR="00CC7D24">
        <w:rPr>
          <w:rFonts w:eastAsia="Times New Roman"/>
          <w:lang w:eastAsia="en-NZ"/>
        </w:rPr>
        <w:t>.</w:t>
      </w:r>
      <w:r w:rsidR="00C45105">
        <w:rPr>
          <w:rStyle w:val="FootnoteReference"/>
          <w:rFonts w:eastAsia="Times New Roman"/>
          <w:lang w:eastAsia="en-NZ"/>
        </w:rPr>
        <w:footnoteReference w:id="29"/>
      </w:r>
    </w:p>
    <w:p w:rsidR="001B3F6B" w:rsidRDefault="00091A1A" w:rsidP="002767B1">
      <w:pPr>
        <w:pStyle w:val="BodyText"/>
        <w:widowControl w:val="0"/>
      </w:pPr>
      <w:r>
        <w:t>The Office of the Ombudsman can provide advice to i</w:t>
      </w:r>
      <w:r w:rsidR="001B3F6B">
        <w:t>nquiries considering making non-publication or</w:t>
      </w:r>
      <w:r>
        <w:t xml:space="preserve">ders </w:t>
      </w:r>
      <w:r w:rsidR="001B3F6B">
        <w:t xml:space="preserve">(email </w:t>
      </w:r>
      <w:hyperlink r:id="rId10" w:history="1">
        <w:r w:rsidR="001B3F6B" w:rsidRPr="00343FC1">
          <w:rPr>
            <w:rStyle w:val="Hyperlink"/>
          </w:rPr>
          <w:t>info@ombudsman.parliament.nz</w:t>
        </w:r>
      </w:hyperlink>
      <w:r w:rsidR="001B3F6B" w:rsidRPr="005F30EE">
        <w:t xml:space="preserve"> or freephone 0800 802 602</w:t>
      </w:r>
      <w:r w:rsidR="001B3F6B">
        <w:t>).</w:t>
      </w:r>
    </w:p>
    <w:p w:rsidR="002767B1" w:rsidRDefault="002767B1">
      <w:pPr>
        <w:spacing w:after="200" w:line="276" w:lineRule="auto"/>
        <w:rPr>
          <w:sz w:val="16"/>
        </w:rPr>
      </w:pPr>
      <w:r>
        <w:br w:type="page"/>
      </w:r>
    </w:p>
    <w:tbl>
      <w:tblPr>
        <w:tblStyle w:val="TableBox"/>
        <w:tblW w:w="9297" w:type="dxa"/>
        <w:tblLayout w:type="fixed"/>
        <w:tblLook w:val="04A0" w:firstRow="1" w:lastRow="0" w:firstColumn="1" w:lastColumn="0" w:noHBand="0" w:noVBand="1"/>
        <w:tblCaption w:val="Box to emphasise text"/>
      </w:tblPr>
      <w:tblGrid>
        <w:gridCol w:w="9297"/>
      </w:tblGrid>
      <w:tr w:rsidR="002A5EE1" w:rsidTr="00FE7C94">
        <w:tc>
          <w:tcPr>
            <w:tcW w:w="9297" w:type="dxa"/>
          </w:tcPr>
          <w:p w:rsidR="002A5EE1" w:rsidRPr="007D5753" w:rsidRDefault="002A5EE1" w:rsidP="002767B1">
            <w:pPr>
              <w:pStyle w:val="Headingboxtexttop"/>
              <w:widowControl w:val="0"/>
            </w:pPr>
            <w:bookmarkStart w:id="26" w:name="ha"/>
            <w:bookmarkEnd w:id="26"/>
            <w:r>
              <w:lastRenderedPageBreak/>
              <w:t>What about the exclusion in paragraph (h)?</w:t>
            </w:r>
          </w:p>
          <w:p w:rsidR="00742820" w:rsidRDefault="00742820" w:rsidP="002767B1">
            <w:pPr>
              <w:pStyle w:val="BodyText"/>
              <w:widowControl w:val="0"/>
            </w:pPr>
            <w:r>
              <w:t xml:space="preserve">As noted </w:t>
            </w:r>
            <w:r w:rsidRPr="00D75ED8">
              <w:t>above</w:t>
            </w:r>
            <w:r>
              <w:t xml:space="preserve">, the relevant exclusion in this </w:t>
            </w:r>
            <w:r w:rsidR="00E443F9">
              <w:t>context</w:t>
            </w:r>
            <w:r>
              <w:t xml:space="preserve"> is found in </w:t>
            </w:r>
            <w:hyperlink w:anchor="_Paragraph_(ha)" w:history="1">
              <w:r w:rsidRPr="00D75ED8">
                <w:rPr>
                  <w:rStyle w:val="Hyperlink"/>
                </w:rPr>
                <w:t>paragraph (ha)</w:t>
              </w:r>
            </w:hyperlink>
            <w:r>
              <w:t xml:space="preserve">. </w:t>
            </w:r>
            <w:r w:rsidR="00177592">
              <w:t>However, s</w:t>
            </w:r>
            <w:r>
              <w:t xml:space="preserve">ome people </w:t>
            </w:r>
            <w:r w:rsidR="00177592">
              <w:t>may</w:t>
            </w:r>
            <w:r>
              <w:t xml:space="preserve"> wonder whether the exclusion in paragraph (h) is also relevant. </w:t>
            </w:r>
          </w:p>
          <w:p w:rsidR="002A5EE1" w:rsidRPr="007F7118" w:rsidRDefault="002A5EE1" w:rsidP="002767B1">
            <w:pPr>
              <w:pStyle w:val="BodyText"/>
              <w:widowControl w:val="0"/>
            </w:pPr>
            <w:r>
              <w:t xml:space="preserve">Paragraph (h) says that </w:t>
            </w:r>
            <w:r>
              <w:rPr>
                <w:i/>
              </w:rPr>
              <w:t xml:space="preserve">‘official information’ </w:t>
            </w:r>
            <w:r>
              <w:t xml:space="preserve">does not include </w:t>
            </w:r>
            <w:r w:rsidRPr="006862BA">
              <w:rPr>
                <w:i/>
              </w:rPr>
              <w:t>‘evidence given or submissions made to</w:t>
            </w:r>
            <w:r>
              <w:rPr>
                <w:i/>
              </w:rPr>
              <w:t>’</w:t>
            </w:r>
            <w:r>
              <w:t>:</w:t>
            </w:r>
          </w:p>
          <w:p w:rsidR="002A5EE1" w:rsidRDefault="00E42546" w:rsidP="002767B1">
            <w:pPr>
              <w:pStyle w:val="Boxsmallbullet1"/>
              <w:widowControl w:val="0"/>
            </w:pPr>
            <w:r>
              <w:t>a royal c</w:t>
            </w:r>
            <w:r w:rsidR="002A5EE1">
              <w:t xml:space="preserve">ommission; </w:t>
            </w:r>
          </w:p>
          <w:p w:rsidR="002A5EE1" w:rsidRDefault="002A5EE1" w:rsidP="002767B1">
            <w:pPr>
              <w:pStyle w:val="Boxsmallbullet1"/>
              <w:widowControl w:val="0"/>
            </w:pPr>
            <w:r>
              <w:t xml:space="preserve">a commission of inquiry appointed by an Order in Council made under the COI Act; or </w:t>
            </w:r>
          </w:p>
          <w:p w:rsidR="002A5EE1" w:rsidRDefault="002A5EE1" w:rsidP="002767B1">
            <w:pPr>
              <w:pStyle w:val="Boxsmallbullet1"/>
              <w:widowControl w:val="0"/>
            </w:pPr>
            <w:r>
              <w:t>a commission of inquiry or board of inquiry or court of inquiry or committee of inquiry appointed, pursuant to, and not by, any provision of an Act, to inquire into a specified matter.</w:t>
            </w:r>
          </w:p>
          <w:p w:rsidR="002A5EE1" w:rsidRDefault="002A5EE1" w:rsidP="002767B1">
            <w:pPr>
              <w:pStyle w:val="BodyText"/>
              <w:widowControl w:val="0"/>
            </w:pPr>
            <w:r>
              <w:t xml:space="preserve">This exclusion has been in the OIA since it was first enacted. However, its </w:t>
            </w:r>
            <w:r w:rsidRPr="00134073">
              <w:t>future</w:t>
            </w:r>
            <w:r>
              <w:t xml:space="preserve"> application has been </w:t>
            </w:r>
            <w:r w:rsidRPr="00134073">
              <w:rPr>
                <w:rStyle w:val="Emphasis"/>
              </w:rPr>
              <w:t>limited</w:t>
            </w:r>
            <w:r>
              <w:t xml:space="preserve"> by the changes in the law relating to public inquiries. </w:t>
            </w:r>
          </w:p>
          <w:p w:rsidR="002A5EE1" w:rsidRDefault="002A5EE1" w:rsidP="002767B1">
            <w:pPr>
              <w:pStyle w:val="BodyText"/>
              <w:widowControl w:val="0"/>
              <w:rPr>
                <w:b/>
              </w:rPr>
            </w:pPr>
            <w:r>
              <w:t xml:space="preserve">This exclusion does not apply to evidence or submissions made to an inquiry under the Inquiries Act, including Royal Commissions established under that Act. </w:t>
            </w:r>
          </w:p>
          <w:p w:rsidR="00E11A22" w:rsidRDefault="002A5EE1" w:rsidP="002767B1">
            <w:pPr>
              <w:pStyle w:val="BodyText"/>
              <w:widowControl w:val="0"/>
            </w:pPr>
            <w:r>
              <w:t xml:space="preserve">However, it continues to apply to evidence or submissions made to </w:t>
            </w:r>
            <w:r w:rsidRPr="00E11A22">
              <w:rPr>
                <w:b/>
              </w:rPr>
              <w:t>historic</w:t>
            </w:r>
            <w:r w:rsidRPr="00BC1B92">
              <w:t xml:space="preserve"> royal commissions and commissions of inquiry</w:t>
            </w:r>
            <w:r>
              <w:t xml:space="preserve"> established under the COI Act. This information will never be </w:t>
            </w:r>
            <w:r>
              <w:rPr>
                <w:i/>
              </w:rPr>
              <w:t>‘official information’</w:t>
            </w:r>
            <w:r>
              <w:t>,</w:t>
            </w:r>
            <w:r>
              <w:rPr>
                <w:i/>
              </w:rPr>
              <w:t xml:space="preserve"> </w:t>
            </w:r>
            <w:r>
              <w:t>notwithstanding what the Inquiries Act says, because the Inquiries Act is not retrospective.</w:t>
            </w:r>
            <w:r>
              <w:rPr>
                <w:rStyle w:val="FootnoteReference"/>
              </w:rPr>
              <w:footnoteReference w:id="30"/>
            </w:r>
            <w:r>
              <w:t xml:space="preserve"> </w:t>
            </w:r>
          </w:p>
          <w:p w:rsidR="002A5EE1" w:rsidRDefault="00177592" w:rsidP="002767B1">
            <w:pPr>
              <w:pStyle w:val="BodyText"/>
              <w:widowControl w:val="0"/>
            </w:pPr>
            <w:r>
              <w:t xml:space="preserve">It </w:t>
            </w:r>
            <w:r w:rsidR="00E11A22">
              <w:t>will also apply to evidence or submissions made to commissions / boards / courts or committe</w:t>
            </w:r>
            <w:r w:rsidR="00C631F0">
              <w:t>e</w:t>
            </w:r>
            <w:r w:rsidR="00E11A22">
              <w:t>s</w:t>
            </w:r>
            <w:r w:rsidR="00C631F0">
              <w:t xml:space="preserve"> of inquiry established pursuan</w:t>
            </w:r>
            <w:r w:rsidR="00E11A22">
              <w:t>t to a different Act to inquire into a specified matter.</w:t>
            </w:r>
          </w:p>
        </w:tc>
      </w:tr>
    </w:tbl>
    <w:p w:rsidR="009E3A89" w:rsidRDefault="00F62BA3" w:rsidP="00CC7D24">
      <w:pPr>
        <w:pStyle w:val="Heading1"/>
        <w:keepNext w:val="0"/>
        <w:keepLines w:val="0"/>
        <w:widowControl w:val="0"/>
      </w:pPr>
      <w:bookmarkStart w:id="27" w:name="_Non-publication_orders"/>
      <w:bookmarkStart w:id="28" w:name="_Good_reasons_for"/>
      <w:bookmarkStart w:id="29" w:name="_Reasons_for_refusal"/>
      <w:bookmarkStart w:id="30" w:name="_Reasons_for_refusal_1"/>
      <w:bookmarkStart w:id="31" w:name="_Toc48123846"/>
      <w:bookmarkEnd w:id="27"/>
      <w:bookmarkEnd w:id="28"/>
      <w:bookmarkEnd w:id="29"/>
      <w:bookmarkEnd w:id="30"/>
      <w:r>
        <w:t>R</w:t>
      </w:r>
      <w:r w:rsidR="005E58DD">
        <w:t>easons for refusal</w:t>
      </w:r>
      <w:bookmarkEnd w:id="31"/>
    </w:p>
    <w:p w:rsidR="00F810EC" w:rsidRDefault="00697C83" w:rsidP="00CC7D24">
      <w:pPr>
        <w:pStyle w:val="BodyText"/>
        <w:widowControl w:val="0"/>
      </w:pPr>
      <w:r>
        <w:t xml:space="preserve">The fact that the OIA applies to information held by </w:t>
      </w:r>
      <w:r w:rsidR="002A7344">
        <w:t>government agencies</w:t>
      </w:r>
      <w:r>
        <w:t>, does not necessarily mean that information must be disclosed. The OIA provides good reasons for withholding official information, many of which could potentially be relevant in this context.</w:t>
      </w:r>
      <w:r w:rsidR="00F62BA3">
        <w:t xml:space="preserve"> </w:t>
      </w:r>
    </w:p>
    <w:p w:rsidR="00697C83" w:rsidRDefault="00F62BA3" w:rsidP="00CC7D24">
      <w:pPr>
        <w:pStyle w:val="BodyText"/>
        <w:widowControl w:val="0"/>
      </w:pPr>
      <w:r>
        <w:t xml:space="preserve">Two </w:t>
      </w:r>
      <w:r w:rsidR="00F810EC">
        <w:t>relevant reasons—</w:t>
      </w:r>
      <w:r>
        <w:t>section 6(c) (</w:t>
      </w:r>
      <w:hyperlink w:anchor="_Maintenance_of_the" w:history="1">
        <w:r w:rsidRPr="00654A81">
          <w:rPr>
            <w:rStyle w:val="Hyperlink"/>
          </w:rPr>
          <w:t>maintenance of the law</w:t>
        </w:r>
      </w:hyperlink>
      <w:r>
        <w:t>), and section 18(c)(i) (</w:t>
      </w:r>
      <w:hyperlink w:anchor="_Release_would_be" w:history="1">
        <w:r w:rsidR="00BE2EEC" w:rsidRPr="00BE2EEC">
          <w:rPr>
            <w:rStyle w:val="Hyperlink"/>
          </w:rPr>
          <w:t xml:space="preserve">release would be </w:t>
        </w:r>
        <w:r w:rsidRPr="00BE2EEC">
          <w:rPr>
            <w:rStyle w:val="Hyperlink"/>
          </w:rPr>
          <w:t xml:space="preserve">contrary to </w:t>
        </w:r>
        <w:r w:rsidR="00BE2EEC" w:rsidRPr="00BE2EEC">
          <w:rPr>
            <w:rStyle w:val="Hyperlink"/>
          </w:rPr>
          <w:t>the Inquiries Act</w:t>
        </w:r>
      </w:hyperlink>
      <w:r>
        <w:t>)</w:t>
      </w:r>
      <w:r w:rsidR="00F810EC">
        <w:t>—</w:t>
      </w:r>
      <w:r>
        <w:t>are dealt with in some detail below. Other po</w:t>
      </w:r>
      <w:r w:rsidR="00654A81">
        <w:t xml:space="preserve">tentially relevant </w:t>
      </w:r>
      <w:hyperlink w:anchor="_Other_refusal_grounds" w:history="1">
        <w:r w:rsidR="00654A81" w:rsidRPr="00BE2EEC">
          <w:rPr>
            <w:rStyle w:val="Hyperlink"/>
          </w:rPr>
          <w:t>refusal grounds</w:t>
        </w:r>
      </w:hyperlink>
      <w:r w:rsidR="00654A81">
        <w:t xml:space="preserve"> are </w:t>
      </w:r>
      <w:r w:rsidR="00BE2EEC">
        <w:t>canvassed</w:t>
      </w:r>
      <w:r w:rsidR="00654A81">
        <w:t xml:space="preserve"> briefly.</w:t>
      </w:r>
    </w:p>
    <w:p w:rsidR="00AC5CFC" w:rsidRDefault="00AC5CFC" w:rsidP="00CC7D24">
      <w:pPr>
        <w:pStyle w:val="BodyText"/>
        <w:widowControl w:val="0"/>
      </w:pPr>
      <w:r>
        <w:t xml:space="preserve">The sensitivity of this information is likely to be highest while an inquiry is underway. However, there is </w:t>
      </w:r>
      <w:r w:rsidR="007379FE">
        <w:rPr>
          <w:b/>
        </w:rPr>
        <w:t xml:space="preserve">no </w:t>
      </w:r>
      <w:r w:rsidRPr="00B16035">
        <w:rPr>
          <w:b/>
        </w:rPr>
        <w:t>cloak of secrecy</w:t>
      </w:r>
      <w:r>
        <w:t xml:space="preserve"> just because an inquiry is underway. Each request must be considered on its merits, and each piece of information must be assessed </w:t>
      </w:r>
      <w:r w:rsidR="004F1550">
        <w:t xml:space="preserve">against the criteria in </w:t>
      </w:r>
      <w:r w:rsidR="004F1550">
        <w:lastRenderedPageBreak/>
        <w:t xml:space="preserve">the OIA for withholding </w:t>
      </w:r>
      <w:r w:rsidR="00B957F0">
        <w:t>before</w:t>
      </w:r>
      <w:r w:rsidR="004F1550">
        <w:t xml:space="preserve"> that request can be refused</w:t>
      </w:r>
      <w:r>
        <w:t>.</w:t>
      </w:r>
      <w:r w:rsidR="004F1550">
        <w:rPr>
          <w:rStyle w:val="FootnoteReference"/>
        </w:rPr>
        <w:footnoteReference w:id="31"/>
      </w:r>
      <w:r>
        <w:t xml:space="preserve"> </w:t>
      </w:r>
    </w:p>
    <w:p w:rsidR="00AC5CFC" w:rsidRDefault="00992C87" w:rsidP="00CC7D24">
      <w:pPr>
        <w:pStyle w:val="BodyText"/>
        <w:widowControl w:val="0"/>
      </w:pPr>
      <w:r>
        <w:t xml:space="preserve">If an agency is concerned about the impact of disclosure of official information on a current inquiry, it may be appropriate to consult the members of the inquiry. More information about how to consult can be found in our </w:t>
      </w:r>
      <w:hyperlink r:id="rId11" w:history="1">
        <w:r w:rsidR="002358B8" w:rsidRPr="004604C4">
          <w:rPr>
            <w:rStyle w:val="Hyperlink"/>
            <w:i/>
          </w:rPr>
          <w:t>Consulting third parties</w:t>
        </w:r>
      </w:hyperlink>
      <w:r w:rsidR="002358B8">
        <w:rPr>
          <w:i/>
        </w:rPr>
        <w:t xml:space="preserve"> </w:t>
      </w:r>
      <w:r w:rsidR="002358B8">
        <w:t>guide.</w:t>
      </w:r>
    </w:p>
    <w:p w:rsidR="00A96A95" w:rsidRDefault="003D4A93" w:rsidP="00CC7D24">
      <w:pPr>
        <w:pStyle w:val="Heading2"/>
        <w:keepNext w:val="0"/>
        <w:keepLines w:val="0"/>
        <w:widowControl w:val="0"/>
      </w:pPr>
      <w:bookmarkStart w:id="32" w:name="_Section_6(c)"/>
      <w:bookmarkStart w:id="33" w:name="_Maintenance_of_the"/>
      <w:bookmarkStart w:id="34" w:name="_Toc48123847"/>
      <w:bookmarkEnd w:id="32"/>
      <w:bookmarkEnd w:id="33"/>
      <w:r>
        <w:t>Maintenance of the law—s</w:t>
      </w:r>
      <w:r w:rsidR="008B09AE">
        <w:t>ection 6(c)</w:t>
      </w:r>
      <w:bookmarkEnd w:id="34"/>
    </w:p>
    <w:p w:rsidR="00387801" w:rsidRDefault="00446D26" w:rsidP="00CC7D24">
      <w:pPr>
        <w:pStyle w:val="BodyText"/>
        <w:widowControl w:val="0"/>
      </w:pPr>
      <w:r>
        <w:t>Section 6(c) of the OIA provides good reason for withholding where release</w:t>
      </w:r>
      <w:r w:rsidR="00387801">
        <w:t xml:space="preserve"> would be like</w:t>
      </w:r>
      <w:r w:rsidR="00F50326">
        <w:t>ly</w:t>
      </w:r>
      <w:r>
        <w:t xml:space="preserve"> </w:t>
      </w:r>
      <w:r w:rsidR="00387801" w:rsidRPr="00387801">
        <w:t>to prejudice the maintenance of the law, including the prevention, investigation, and detection of offences, and the right to a fair trial</w:t>
      </w:r>
      <w:r w:rsidR="00387801">
        <w:t>.</w:t>
      </w:r>
    </w:p>
    <w:p w:rsidR="00D2255E" w:rsidRDefault="00D2255E" w:rsidP="00CC7D24">
      <w:pPr>
        <w:pStyle w:val="Heading3"/>
        <w:keepNext w:val="0"/>
        <w:keepLines w:val="0"/>
        <w:widowControl w:val="0"/>
      </w:pPr>
      <w:r>
        <w:t>Can section 6(c) apply to inquiries?</w:t>
      </w:r>
    </w:p>
    <w:p w:rsidR="0056584E" w:rsidRDefault="00D515E5" w:rsidP="00CC7D24">
      <w:pPr>
        <w:pStyle w:val="Boxsmalltext"/>
        <w:widowControl w:val="0"/>
      </w:pPr>
      <w:r>
        <w:t>Section 6(c)</w:t>
      </w:r>
      <w:r w:rsidR="00D54FC7">
        <w:t xml:space="preserve"> is primarily a </w:t>
      </w:r>
      <w:r w:rsidR="00D54FC7" w:rsidRPr="009D6C60">
        <w:rPr>
          <w:i/>
        </w:rPr>
        <w:t>‘law enforcement’</w:t>
      </w:r>
      <w:r w:rsidR="00D54FC7">
        <w:t xml:space="preserve"> provision. </w:t>
      </w:r>
      <w:r w:rsidR="001B12C2">
        <w:t xml:space="preserve">To engage section 6(c), the information at issue </w:t>
      </w:r>
      <w:r w:rsidR="001B12C2" w:rsidRPr="001B12C2">
        <w:t>must have some connection with a process of enforcing the law by ensuring compliance or investigating non-compliance with legal rules or standards.</w:t>
      </w:r>
    </w:p>
    <w:p w:rsidR="00D2255E" w:rsidRDefault="00387801" w:rsidP="00CC7D24">
      <w:pPr>
        <w:pStyle w:val="Boxsmalltext"/>
        <w:widowControl w:val="0"/>
        <w:rPr>
          <w:color w:val="auto"/>
        </w:rPr>
      </w:pPr>
      <w:r>
        <w:t xml:space="preserve">However, </w:t>
      </w:r>
      <w:r w:rsidRPr="00344433">
        <w:t>Ombudsmen have</w:t>
      </w:r>
      <w:r>
        <w:t xml:space="preserve"> accepted that prejudice to an i</w:t>
      </w:r>
      <w:r w:rsidRPr="00344433">
        <w:t>nqu</w:t>
      </w:r>
      <w:r w:rsidR="001C007A">
        <w:t>iry can fit within section 6(c).</w:t>
      </w:r>
      <w:r w:rsidRPr="00344433">
        <w:t xml:space="preserve"> This </w:t>
      </w:r>
      <w:r>
        <w:t xml:space="preserve">arose first </w:t>
      </w:r>
      <w:r w:rsidRPr="00344433">
        <w:t>in the context of</w:t>
      </w:r>
      <w:r>
        <w:t xml:space="preserve"> the </w:t>
      </w:r>
      <w:r w:rsidRPr="00587916">
        <w:rPr>
          <w:rStyle w:val="Quotationwithinthesentence"/>
        </w:rPr>
        <w:t>Royal Commission into the Pike River Mine Tragedy</w:t>
      </w:r>
      <w:r>
        <w:t xml:space="preserve"> (see </w:t>
      </w:r>
      <w:hyperlink r:id="rId12" w:history="1">
        <w:r w:rsidR="00E850DE" w:rsidRPr="00581668">
          <w:rPr>
            <w:rStyle w:val="Hyperlink"/>
          </w:rPr>
          <w:t>301633 &amp; 301637</w:t>
        </w:r>
      </w:hyperlink>
      <w:r>
        <w:t>)</w:t>
      </w:r>
      <w:r w:rsidRPr="00344433">
        <w:t xml:space="preserve">, </w:t>
      </w:r>
      <w:r>
        <w:t xml:space="preserve">and </w:t>
      </w:r>
      <w:r w:rsidR="00751E35">
        <w:t>then</w:t>
      </w:r>
      <w:r>
        <w:t xml:space="preserve"> in the context </w:t>
      </w:r>
      <w:r w:rsidR="00751E35">
        <w:t xml:space="preserve">of the </w:t>
      </w:r>
      <w:r w:rsidR="00587916" w:rsidRPr="00587916">
        <w:rPr>
          <w:i/>
        </w:rPr>
        <w:t>Government Inquiry into Operation Burnham and related matters</w:t>
      </w:r>
      <w:r w:rsidR="00587916">
        <w:t xml:space="preserve"> </w:t>
      </w:r>
      <w:r w:rsidR="00751E35">
        <w:t xml:space="preserve">(see </w:t>
      </w:r>
      <w:hyperlink r:id="rId13" w:history="1">
        <w:r w:rsidRPr="00751702">
          <w:rPr>
            <w:rStyle w:val="Hyperlink"/>
          </w:rPr>
          <w:t>481126</w:t>
        </w:r>
      </w:hyperlink>
      <w:r w:rsidR="00751E35">
        <w:rPr>
          <w:color w:val="auto"/>
        </w:rPr>
        <w:t xml:space="preserve">). </w:t>
      </w:r>
    </w:p>
    <w:p w:rsidR="00387801" w:rsidRDefault="00387801" w:rsidP="00387801">
      <w:pPr>
        <w:pStyle w:val="Boxsmalltext"/>
      </w:pPr>
      <w:r>
        <w:t xml:space="preserve">This approach recognises the influential role that inquiries hold in New Zealand, and the increased powers which were conveyed by the enactment of the Inquiries Act, empowering an inquiry to regulate its own procedures, hold oral hearings, compel witnesses and take evidence on oath. </w:t>
      </w:r>
    </w:p>
    <w:p w:rsidR="009D6C60" w:rsidRDefault="00387801" w:rsidP="00387801">
      <w:pPr>
        <w:pStyle w:val="Boxsmalltext"/>
      </w:pPr>
      <w:r>
        <w:t xml:space="preserve">There is clearly a high public interest in ensuring that the public can have confidence in the findings of an inquiry. Premature release of certain information which an agency will need to produce to an inquiry, which is central for the inquiry to make its findings, has the potential to undermine the investigation being undertaken. </w:t>
      </w:r>
    </w:p>
    <w:p w:rsidR="00D2255E" w:rsidRDefault="00D2255E" w:rsidP="00D515E5">
      <w:pPr>
        <w:pStyle w:val="Heading3"/>
      </w:pPr>
      <w:r>
        <w:t>When does section 6(c) apply?</w:t>
      </w:r>
    </w:p>
    <w:p w:rsidR="009D6C60" w:rsidRDefault="009D6C60" w:rsidP="00D515E5">
      <w:pPr>
        <w:pStyle w:val="Boxsmalltext"/>
        <w:keepNext/>
      </w:pPr>
      <w:r>
        <w:t>For section 6(c) to apply:</w:t>
      </w:r>
    </w:p>
    <w:p w:rsidR="009D6C60" w:rsidRDefault="00D515E5" w:rsidP="00FB0FF9">
      <w:pPr>
        <w:pStyle w:val="Bullet1"/>
      </w:pPr>
      <w:r>
        <w:t>t</w:t>
      </w:r>
      <w:r w:rsidR="009D6C60">
        <w:t xml:space="preserve">here </w:t>
      </w:r>
      <w:r w:rsidR="00AC4512">
        <w:t xml:space="preserve">must </w:t>
      </w:r>
      <w:r w:rsidR="009D6C60">
        <w:t>be a direct connection between the information at issue and the matters under inquiry</w:t>
      </w:r>
      <w:r w:rsidR="001C007A">
        <w:t xml:space="preserve"> (see </w:t>
      </w:r>
      <w:hyperlink r:id="rId14" w:history="1">
        <w:r w:rsidR="001C007A" w:rsidRPr="00581668">
          <w:rPr>
            <w:rStyle w:val="Hyperlink"/>
          </w:rPr>
          <w:t>304423</w:t>
        </w:r>
      </w:hyperlink>
      <w:r w:rsidR="00606005" w:rsidRPr="00806CA4">
        <w:t>,</w:t>
      </w:r>
      <w:r w:rsidR="001C007A">
        <w:t xml:space="preserve"> </w:t>
      </w:r>
      <w:r w:rsidR="00606005">
        <w:t>compared with</w:t>
      </w:r>
      <w:r w:rsidR="001C007A">
        <w:t xml:space="preserve"> </w:t>
      </w:r>
      <w:hyperlink r:id="rId15" w:history="1">
        <w:r w:rsidR="001C007A" w:rsidRPr="00581668">
          <w:rPr>
            <w:rStyle w:val="Hyperlink"/>
          </w:rPr>
          <w:t>301633 &amp; 301637</w:t>
        </w:r>
      </w:hyperlink>
      <w:r w:rsidR="001C007A">
        <w:t>)</w:t>
      </w:r>
      <w:r w:rsidR="009D6C60">
        <w:t>;</w:t>
      </w:r>
    </w:p>
    <w:p w:rsidR="009D6C60" w:rsidRDefault="00D515E5" w:rsidP="009D6C60">
      <w:pPr>
        <w:pStyle w:val="Bullet1"/>
      </w:pPr>
      <w:r>
        <w:t>i</w:t>
      </w:r>
      <w:r w:rsidR="009D6C60">
        <w:t xml:space="preserve">t must be clear how release of that information would prejudice the </w:t>
      </w:r>
      <w:r w:rsidR="00AC4512">
        <w:t>conduct</w:t>
      </w:r>
      <w:r w:rsidR="009D6C60">
        <w:t xml:space="preserve"> of the inquiry, or its ability make findings;</w:t>
      </w:r>
    </w:p>
    <w:p w:rsidR="00D2255E" w:rsidRDefault="00D515E5" w:rsidP="004A5279">
      <w:pPr>
        <w:pStyle w:val="Bullet1"/>
        <w:widowControl w:val="0"/>
      </w:pPr>
      <w:r>
        <w:t>t</w:t>
      </w:r>
      <w:r w:rsidR="009D6C60">
        <w:t xml:space="preserve">his prejudice must be ‘likely’ to occur—meaning there is a </w:t>
      </w:r>
      <w:r w:rsidR="009D6C60" w:rsidRPr="009D6C60">
        <w:t>serious or real and substantial risk</w:t>
      </w:r>
      <w:r w:rsidR="009D6C60">
        <w:t>.</w:t>
      </w:r>
      <w:r w:rsidR="009D6C60">
        <w:rPr>
          <w:rStyle w:val="FootnoteReference"/>
        </w:rPr>
        <w:footnoteReference w:id="32"/>
      </w:r>
    </w:p>
    <w:p w:rsidR="00FF2024" w:rsidRDefault="00FF2024" w:rsidP="004A5279">
      <w:pPr>
        <w:pStyle w:val="BodyText"/>
        <w:widowControl w:val="0"/>
      </w:pPr>
      <w:r>
        <w:lastRenderedPageBreak/>
        <w:t xml:space="preserve">Section 6(c) usually applies on a </w:t>
      </w:r>
      <w:r w:rsidRPr="00FF2024">
        <w:rPr>
          <w:b/>
        </w:rPr>
        <w:t>temporary</w:t>
      </w:r>
      <w:r>
        <w:t xml:space="preserve"> basis—while an inquiry is underway. It will not usually be necessary to withhold information related to an inquiry on a permanent basis, under this particular </w:t>
      </w:r>
      <w:r w:rsidR="004A5279">
        <w:t xml:space="preserve">withholding </w:t>
      </w:r>
      <w:r>
        <w:t xml:space="preserve">ground. </w:t>
      </w:r>
    </w:p>
    <w:p w:rsidR="00FF2024" w:rsidRPr="00C30F5D" w:rsidRDefault="00116C72" w:rsidP="00F83947">
      <w:pPr>
        <w:pStyle w:val="BodyText"/>
        <w:widowControl w:val="0"/>
      </w:pPr>
      <w:r>
        <w:t xml:space="preserve">Section 6(c) does not apply just because release might lead to </w:t>
      </w:r>
      <w:r w:rsidRPr="00E55BA5">
        <w:rPr>
          <w:b/>
        </w:rPr>
        <w:t>public debate or comment</w:t>
      </w:r>
      <w:r>
        <w:t xml:space="preserve"> about a matter that is under inquiry. </w:t>
      </w:r>
      <w:r w:rsidR="00F83947">
        <w:t xml:space="preserve">Increased public debate should not, of itself, prejudice the ability of the members of an inquiry to reach their conclusions free of pressure, or an agency to be able to present its case (see </w:t>
      </w:r>
      <w:hyperlink r:id="rId16" w:history="1">
        <w:r w:rsidR="00F83947" w:rsidRPr="00751702">
          <w:rPr>
            <w:rStyle w:val="Hyperlink"/>
          </w:rPr>
          <w:t>481126</w:t>
        </w:r>
      </w:hyperlink>
      <w:r w:rsidR="00F83947" w:rsidRPr="00C30F5D">
        <w:t>).</w:t>
      </w:r>
    </w:p>
    <w:p w:rsidR="00116C72" w:rsidRDefault="00116C72" w:rsidP="004A5279">
      <w:pPr>
        <w:pStyle w:val="BodyText"/>
        <w:widowControl w:val="0"/>
      </w:pPr>
      <w:r>
        <w:t xml:space="preserve">Nor does it apply because </w:t>
      </w:r>
      <w:r w:rsidR="00F25FBF">
        <w:t xml:space="preserve">meeting OIA requests about an inquiry would </w:t>
      </w:r>
      <w:r w:rsidR="0099270D">
        <w:t>impact</w:t>
      </w:r>
      <w:r w:rsidR="00D03CDD">
        <w:t>—</w:t>
      </w:r>
      <w:r w:rsidR="00F25FBF">
        <w:t xml:space="preserve">in </w:t>
      </w:r>
      <w:r w:rsidR="00F25FBF" w:rsidRPr="00E55BA5">
        <w:rPr>
          <w:b/>
        </w:rPr>
        <w:t>administrative</w:t>
      </w:r>
      <w:r w:rsidR="00F25FBF">
        <w:t xml:space="preserve"> sense</w:t>
      </w:r>
      <w:r w:rsidR="00D03CDD">
        <w:t>—</w:t>
      </w:r>
      <w:r w:rsidR="00F25FBF">
        <w:t xml:space="preserve">on </w:t>
      </w:r>
      <w:r w:rsidR="008B38E1">
        <w:t>the agency or the</w:t>
      </w:r>
      <w:r w:rsidR="00F25FBF">
        <w:t xml:space="preserve"> inquiry</w:t>
      </w:r>
      <w:r w:rsidR="00E55BA5">
        <w:t xml:space="preserve"> (</w:t>
      </w:r>
      <w:hyperlink r:id="rId17" w:history="1">
        <w:r w:rsidR="007A7490" w:rsidRPr="00751702">
          <w:rPr>
            <w:rStyle w:val="Hyperlink"/>
          </w:rPr>
          <w:t>481126</w:t>
        </w:r>
      </w:hyperlink>
      <w:r w:rsidR="00E55BA5">
        <w:t xml:space="preserve">). </w:t>
      </w:r>
      <w:r w:rsidR="00D470D5">
        <w:t>It can only</w:t>
      </w:r>
      <w:r w:rsidR="00576FC3">
        <w:t xml:space="preserve"> apply</w:t>
      </w:r>
      <w:r w:rsidR="00D470D5">
        <w:t xml:space="preserve"> </w:t>
      </w:r>
      <w:r w:rsidR="00D470D5" w:rsidRPr="00D470D5">
        <w:t xml:space="preserve">where the </w:t>
      </w:r>
      <w:r w:rsidR="00D470D5" w:rsidRPr="00D470D5">
        <w:rPr>
          <w:b/>
        </w:rPr>
        <w:t>release</w:t>
      </w:r>
      <w:r w:rsidR="00D470D5" w:rsidRPr="00D470D5">
        <w:t xml:space="preserve"> of information would prejudice the maintenance of the law, not where the work in preparing release might </w:t>
      </w:r>
      <w:r w:rsidR="0044220B">
        <w:t>indirectly</w:t>
      </w:r>
      <w:r w:rsidR="00D470D5" w:rsidRPr="00D470D5">
        <w:t xml:space="preserve"> bring about an administrative prejudice. </w:t>
      </w:r>
      <w:r w:rsidR="002B7976">
        <w:t xml:space="preserve">If an agency is concerned about the administrative difficulty in responding to an OIA request, it should consider our </w:t>
      </w:r>
      <w:hyperlink r:id="rId18" w:history="1">
        <w:r w:rsidR="002B7976" w:rsidRPr="00860ACC">
          <w:rPr>
            <w:rStyle w:val="Hyperlink"/>
            <w:i/>
          </w:rPr>
          <w:t>Substantial collation or research</w:t>
        </w:r>
      </w:hyperlink>
      <w:r w:rsidR="002B7976">
        <w:rPr>
          <w:i/>
        </w:rPr>
        <w:t xml:space="preserve"> </w:t>
      </w:r>
      <w:r w:rsidR="002B7976">
        <w:t>guide.</w:t>
      </w:r>
    </w:p>
    <w:p w:rsidR="00D2255E" w:rsidRDefault="00D2255E" w:rsidP="005D64C9">
      <w:pPr>
        <w:pStyle w:val="Heading3"/>
        <w:keepLines w:val="0"/>
        <w:widowControl w:val="0"/>
      </w:pPr>
      <w:r>
        <w:t>Factors to consider</w:t>
      </w:r>
    </w:p>
    <w:p w:rsidR="009D6C60" w:rsidRDefault="009D6C60" w:rsidP="005D64C9">
      <w:pPr>
        <w:pStyle w:val="Boxsmalltext"/>
        <w:keepNext/>
        <w:widowControl w:val="0"/>
      </w:pPr>
      <w:r>
        <w:t>Relevant factors in assessing the likelihood of a prejudice occurring include:</w:t>
      </w:r>
    </w:p>
    <w:p w:rsidR="009D6C60" w:rsidRPr="004F6505" w:rsidRDefault="009D6C60" w:rsidP="004F6505">
      <w:pPr>
        <w:pStyle w:val="Bullet1"/>
        <w:rPr>
          <w:szCs w:val="24"/>
        </w:rPr>
      </w:pPr>
      <w:r w:rsidRPr="004F6505">
        <w:rPr>
          <w:szCs w:val="24"/>
        </w:rPr>
        <w:t>the views of the inquiry;</w:t>
      </w:r>
    </w:p>
    <w:p w:rsidR="00DB293F" w:rsidRPr="004F6505" w:rsidRDefault="00DB293F" w:rsidP="004F6505">
      <w:pPr>
        <w:pStyle w:val="Bullet1"/>
        <w:rPr>
          <w:szCs w:val="24"/>
        </w:rPr>
      </w:pPr>
      <w:r w:rsidRPr="004F6505">
        <w:rPr>
          <w:szCs w:val="24"/>
        </w:rPr>
        <w:t>the terms of reference for the inquiry (whether focused on policy or administration, or the conduct of individuals and agencies);</w:t>
      </w:r>
    </w:p>
    <w:p w:rsidR="009D6C60" w:rsidRDefault="009D6C60" w:rsidP="004F6505">
      <w:pPr>
        <w:pStyle w:val="Bullet1"/>
        <w:rPr>
          <w:szCs w:val="24"/>
        </w:rPr>
      </w:pPr>
      <w:r w:rsidRPr="004F6505">
        <w:rPr>
          <w:szCs w:val="24"/>
        </w:rPr>
        <w:t>the impact on the agency’s ability to participate in the inquiry;</w:t>
      </w:r>
    </w:p>
    <w:p w:rsidR="00B52995" w:rsidRPr="004F6505" w:rsidRDefault="00B52995" w:rsidP="004F6505">
      <w:pPr>
        <w:pStyle w:val="Bullet1"/>
        <w:rPr>
          <w:szCs w:val="24"/>
        </w:rPr>
      </w:pPr>
      <w:r>
        <w:rPr>
          <w:szCs w:val="24"/>
        </w:rPr>
        <w:t>relevant statutory powers of the inquiry</w:t>
      </w:r>
      <w:r w:rsidR="00C67962">
        <w:rPr>
          <w:szCs w:val="24"/>
        </w:rPr>
        <w:t xml:space="preserve"> (</w:t>
      </w:r>
      <w:r>
        <w:rPr>
          <w:szCs w:val="24"/>
        </w:rPr>
        <w:t>such as rules around the availability of information, the power to determine release of information and to summon witnesses</w:t>
      </w:r>
      <w:r w:rsidR="00C67962">
        <w:rPr>
          <w:szCs w:val="24"/>
        </w:rPr>
        <w:t>)</w:t>
      </w:r>
      <w:r>
        <w:rPr>
          <w:szCs w:val="24"/>
        </w:rPr>
        <w:t>;</w:t>
      </w:r>
    </w:p>
    <w:p w:rsidR="009D6C60" w:rsidRPr="004F6505" w:rsidRDefault="009D6C60" w:rsidP="004F6505">
      <w:pPr>
        <w:pStyle w:val="Bullet1"/>
        <w:rPr>
          <w:szCs w:val="24"/>
        </w:rPr>
      </w:pPr>
      <w:r w:rsidRPr="004F6505">
        <w:rPr>
          <w:szCs w:val="24"/>
        </w:rPr>
        <w:t>the procedures adopted by t</w:t>
      </w:r>
      <w:r w:rsidR="00DB293F" w:rsidRPr="004F6505">
        <w:rPr>
          <w:szCs w:val="24"/>
        </w:rPr>
        <w:t>he inquiry (</w:t>
      </w:r>
      <w:r w:rsidRPr="004F6505">
        <w:rPr>
          <w:szCs w:val="24"/>
        </w:rPr>
        <w:t>whether adversarial or inquisitorial, and whether witnesses will be summoned and cross-examined</w:t>
      </w:r>
      <w:r w:rsidR="00DB293F" w:rsidRPr="004F6505">
        <w:rPr>
          <w:szCs w:val="24"/>
        </w:rPr>
        <w:t>)</w:t>
      </w:r>
      <w:r w:rsidRPr="004F6505">
        <w:rPr>
          <w:szCs w:val="24"/>
        </w:rPr>
        <w:t>;</w:t>
      </w:r>
      <w:r w:rsidR="00D515E5" w:rsidRPr="004F6505">
        <w:rPr>
          <w:szCs w:val="24"/>
        </w:rPr>
        <w:t xml:space="preserve"> and</w:t>
      </w:r>
    </w:p>
    <w:p w:rsidR="00DB293F" w:rsidRPr="004F6505" w:rsidRDefault="00000FC9" w:rsidP="004F6505">
      <w:pPr>
        <w:pStyle w:val="Bullet1"/>
        <w:rPr>
          <w:szCs w:val="24"/>
        </w:rPr>
      </w:pPr>
      <w:r w:rsidRPr="004F6505">
        <w:rPr>
          <w:szCs w:val="24"/>
        </w:rPr>
        <w:t xml:space="preserve">the </w:t>
      </w:r>
      <w:r w:rsidR="00667024" w:rsidRPr="004F6505">
        <w:rPr>
          <w:szCs w:val="24"/>
        </w:rPr>
        <w:t>possibility</w:t>
      </w:r>
      <w:r w:rsidRPr="004F6505">
        <w:rPr>
          <w:szCs w:val="24"/>
        </w:rPr>
        <w:t xml:space="preserve"> that fault will </w:t>
      </w:r>
      <w:r w:rsidR="00B71F41" w:rsidRPr="004F6505">
        <w:rPr>
          <w:szCs w:val="24"/>
        </w:rPr>
        <w:t xml:space="preserve">be </w:t>
      </w:r>
      <w:r w:rsidRPr="004F6505">
        <w:rPr>
          <w:szCs w:val="24"/>
        </w:rPr>
        <w:t>found or recommendations to determine liability will be made</w:t>
      </w:r>
      <w:r w:rsidR="009D6C60" w:rsidRPr="004F6505">
        <w:rPr>
          <w:szCs w:val="24"/>
        </w:rPr>
        <w:t xml:space="preserve">. </w:t>
      </w:r>
    </w:p>
    <w:p w:rsidR="00507FE9" w:rsidRDefault="00730D6E" w:rsidP="004A5279">
      <w:pPr>
        <w:pStyle w:val="BodyText"/>
        <w:widowControl w:val="0"/>
      </w:pPr>
      <w:r>
        <w:t xml:space="preserve">Section 6(c) is more likely to apply where an inquiry is, in some shape or form, investigating compliance with legal rules or standards. </w:t>
      </w:r>
    </w:p>
    <w:p w:rsidR="001A00F3" w:rsidRDefault="001A00F3" w:rsidP="001A00F3">
      <w:pPr>
        <w:pStyle w:val="Whitespace"/>
      </w:pPr>
    </w:p>
    <w:tbl>
      <w:tblPr>
        <w:tblStyle w:val="TableBox"/>
        <w:tblW w:w="9297" w:type="dxa"/>
        <w:tblLayout w:type="fixed"/>
        <w:tblLook w:val="04A0" w:firstRow="1" w:lastRow="0" w:firstColumn="1" w:lastColumn="0" w:noHBand="0" w:noVBand="1"/>
        <w:tblCaption w:val="Box to emphasise text"/>
      </w:tblPr>
      <w:tblGrid>
        <w:gridCol w:w="9297"/>
      </w:tblGrid>
      <w:tr w:rsidR="005D499B" w:rsidTr="005D499B">
        <w:tc>
          <w:tcPr>
            <w:tcW w:w="9297" w:type="dxa"/>
          </w:tcPr>
          <w:p w:rsidR="005D499B" w:rsidRPr="007D5753" w:rsidRDefault="005D499B" w:rsidP="005D06A1">
            <w:pPr>
              <w:pStyle w:val="Headingboxtexttop"/>
              <w:keepNext/>
            </w:pPr>
            <w:r>
              <w:lastRenderedPageBreak/>
              <w:t>Case study—</w:t>
            </w:r>
            <w:r w:rsidR="001A00F3">
              <w:t>application of factors to consider</w:t>
            </w:r>
          </w:p>
          <w:p w:rsidR="005D499B" w:rsidRDefault="005D499B" w:rsidP="005D06A1">
            <w:pPr>
              <w:pStyle w:val="BodyText"/>
              <w:keepNext/>
            </w:pPr>
            <w:r>
              <w:t xml:space="preserve">Case </w:t>
            </w:r>
            <w:bookmarkStart w:id="35" w:name="_Hlk48114007"/>
            <w:r w:rsidR="00751702">
              <w:rPr>
                <w:rStyle w:val="HyperlinkSourceTextReference"/>
              </w:rPr>
              <w:fldChar w:fldCharType="begin"/>
            </w:r>
            <w:r w:rsidR="00751702">
              <w:rPr>
                <w:rStyle w:val="HyperlinkSourceTextReference"/>
              </w:rPr>
              <w:instrText xml:space="preserve"> HYPERLINK "https://www.ombudsman.parliament.nz/resources/request-information-about-operation-burnham" </w:instrText>
            </w:r>
            <w:r w:rsidR="00751702">
              <w:rPr>
                <w:rStyle w:val="HyperlinkSourceTextReference"/>
              </w:rPr>
              <w:fldChar w:fldCharType="separate"/>
            </w:r>
            <w:r w:rsidRPr="00751702">
              <w:rPr>
                <w:rStyle w:val="Hyperlink"/>
              </w:rPr>
              <w:t>481126</w:t>
            </w:r>
            <w:bookmarkEnd w:id="35"/>
            <w:r w:rsidR="00751702">
              <w:rPr>
                <w:rStyle w:val="HyperlinkSourceTextReference"/>
              </w:rPr>
              <w:fldChar w:fldCharType="end"/>
            </w:r>
            <w:r>
              <w:t xml:space="preserve"> provides a good example of what this means in practice. That case involved a number of questions directed to the New Zealand Defence </w:t>
            </w:r>
            <w:r w:rsidR="00203A8F">
              <w:t>F</w:t>
            </w:r>
            <w:r>
              <w:t xml:space="preserve">orce (NZDF) about Operation Burnham (a military operation in Afghanistan), which was subject to a </w:t>
            </w:r>
            <w:r w:rsidR="00617459">
              <w:t>government</w:t>
            </w:r>
            <w:r>
              <w:t xml:space="preserve"> inquiry under the Inquiries Act. </w:t>
            </w:r>
          </w:p>
          <w:p w:rsidR="005D499B" w:rsidRDefault="005D499B" w:rsidP="005D499B">
            <w:pPr>
              <w:pStyle w:val="BodyText"/>
            </w:pPr>
            <w:r>
              <w:t xml:space="preserve">The terms of reference for the inquiry were wide-ranging. Some were focused on administrative aspects, such as steps taken by the NZDF to review the operation, and public statements made in relation to civilian casualties. Others focused on </w:t>
            </w:r>
            <w:r w:rsidRPr="00A71FFC">
              <w:rPr>
                <w:i/>
              </w:rPr>
              <w:t>‘the conduct of NZDF forces in Operation Burnham, including compliance with the applicable rules of engagement and international humanitarian law’</w:t>
            </w:r>
            <w:r>
              <w:t>.</w:t>
            </w:r>
          </w:p>
          <w:p w:rsidR="005D499B" w:rsidRDefault="005D499B" w:rsidP="005D499B">
            <w:pPr>
              <w:pStyle w:val="BodyText"/>
            </w:pPr>
            <w:r>
              <w:t xml:space="preserve">It was more difficult to see that information relating to the administrative aspects of the inquiry would prejudice the maintenance of the law. However, a finding of fault by the inquiry in relation to the conduct of NZDF forces could have implications for those who may be held accountable for that finding. Adverse findings may require further consideration under the Armed Forces Discipline Act 1971. </w:t>
            </w:r>
          </w:p>
          <w:p w:rsidR="005D499B" w:rsidRDefault="005D499B" w:rsidP="005D499B">
            <w:pPr>
              <w:pStyle w:val="BodyText"/>
            </w:pPr>
            <w:r>
              <w:t xml:space="preserve">The Ombudsman found that requests for basic and uncontested factual material, like </w:t>
            </w:r>
            <w:r w:rsidR="00540B23" w:rsidRPr="00540B23">
              <w:rPr>
                <w:i/>
              </w:rPr>
              <w:t>‘what was Afghan local time when the Apache fired the rounds that fell short’</w:t>
            </w:r>
            <w:r w:rsidR="00540B23" w:rsidRPr="00CF0851">
              <w:t>,</w:t>
            </w:r>
            <w:r w:rsidR="00540B23">
              <w:t xml:space="preserve"> </w:t>
            </w:r>
            <w:r>
              <w:t xml:space="preserve">could be </w:t>
            </w:r>
            <w:r w:rsidR="00203A8F">
              <w:t xml:space="preserve">answered without any prejudice </w:t>
            </w:r>
            <w:r>
              <w:t xml:space="preserve">to the maintenance of the law. </w:t>
            </w:r>
          </w:p>
          <w:p w:rsidR="005D499B" w:rsidRDefault="005D499B" w:rsidP="005D499B">
            <w:pPr>
              <w:pStyle w:val="BodyText"/>
            </w:pPr>
            <w:r>
              <w:t xml:space="preserve">However, prejudice could arise where a request for information was essentially seeking to interrogate someone on matters that could lead to their subsequent liability. It could be prejudicial to force that person to give their version of events in the OIA forum, when that very question was being considered by the inquiry. There may be a prejudicial effect on the evidence that is provided.  </w:t>
            </w:r>
          </w:p>
          <w:p w:rsidR="006A19EC" w:rsidRDefault="006A19EC" w:rsidP="006A19EC">
            <w:pPr>
              <w:pStyle w:val="BodyText"/>
            </w:pPr>
            <w:r>
              <w:t xml:space="preserve">You can read the full case note </w:t>
            </w:r>
            <w:hyperlink r:id="rId19" w:history="1">
              <w:r w:rsidRPr="00B10B64">
                <w:rPr>
                  <w:rStyle w:val="Hyperlink"/>
                </w:rPr>
                <w:t>here</w:t>
              </w:r>
            </w:hyperlink>
            <w:r>
              <w:t>.</w:t>
            </w:r>
          </w:p>
        </w:tc>
      </w:tr>
    </w:tbl>
    <w:p w:rsidR="00810B22" w:rsidRDefault="00810B22" w:rsidP="0058584A">
      <w:pPr>
        <w:pStyle w:val="Heading2"/>
      </w:pPr>
      <w:bookmarkStart w:id="36" w:name="_Release_would_be"/>
      <w:bookmarkStart w:id="37" w:name="_Toc48123848"/>
      <w:bookmarkEnd w:id="36"/>
      <w:r>
        <w:t>Release would be contrary to the Inquiries Act—s 18(c)(i)</w:t>
      </w:r>
      <w:bookmarkEnd w:id="37"/>
    </w:p>
    <w:p w:rsidR="00810B22" w:rsidRDefault="00C14B34" w:rsidP="0058584A">
      <w:pPr>
        <w:pStyle w:val="BodyText"/>
        <w:keepNext/>
      </w:pPr>
      <w:r>
        <w:t xml:space="preserve">Section 18(c)(i) of the OIA provides that a request may be refused if release of the information would be </w:t>
      </w:r>
      <w:r w:rsidRPr="001405C8">
        <w:rPr>
          <w:i/>
        </w:rPr>
        <w:t>‘</w:t>
      </w:r>
      <w:r w:rsidR="004F3F48" w:rsidRPr="001405C8">
        <w:rPr>
          <w:i/>
        </w:rPr>
        <w:t>contrary to the provisions of a specified enactment’.</w:t>
      </w:r>
      <w:r w:rsidR="004F3F48">
        <w:t xml:space="preserve"> </w:t>
      </w:r>
    </w:p>
    <w:p w:rsidR="00567CBE" w:rsidRDefault="00C53F0F" w:rsidP="0058584A">
      <w:pPr>
        <w:pStyle w:val="BodyText"/>
        <w:keepNext/>
      </w:pPr>
      <w:r>
        <w:t>I</w:t>
      </w:r>
      <w:r w:rsidR="00F71EF9">
        <w:t xml:space="preserve">nquiries have wide powers to determine their procedure by making orders and directions. They </w:t>
      </w:r>
      <w:r w:rsidR="00567CBE">
        <w:t xml:space="preserve">can make orders </w:t>
      </w:r>
      <w:r w:rsidR="00EF5A18">
        <w:t>to restrict</w:t>
      </w:r>
      <w:r w:rsidR="00567CBE">
        <w:t xml:space="preserve"> public access to any part or aspect of the inquiry</w:t>
      </w:r>
      <w:r w:rsidR="00EF5A18">
        <w:t>,</w:t>
      </w:r>
      <w:r w:rsidR="00EF5A18">
        <w:rPr>
          <w:rStyle w:val="FootnoteReference"/>
        </w:rPr>
        <w:footnoteReference w:id="33"/>
      </w:r>
      <w:r w:rsidR="00EF5A18">
        <w:t xml:space="preserve"> and to hold the inquiry, or any part of it, in private</w:t>
      </w:r>
      <w:r w:rsidR="00567CBE">
        <w:t>.</w:t>
      </w:r>
      <w:r w:rsidR="00EF5A18">
        <w:rPr>
          <w:rStyle w:val="FootnoteReference"/>
        </w:rPr>
        <w:footnoteReference w:id="34"/>
      </w:r>
      <w:r w:rsidR="00567CBE">
        <w:t xml:space="preserve"> They can make orders—on application or their own initiative—for information that has been received </w:t>
      </w:r>
      <w:r w:rsidR="008F285F">
        <w:t xml:space="preserve">from one person </w:t>
      </w:r>
      <w:r w:rsidR="00567CBE">
        <w:t xml:space="preserve">to be disclosed to </w:t>
      </w:r>
      <w:r w:rsidR="00567CBE">
        <w:lastRenderedPageBreak/>
        <w:t xml:space="preserve">another </w:t>
      </w:r>
      <w:r w:rsidR="008F285F">
        <w:t>person who is participating</w:t>
      </w:r>
      <w:r w:rsidR="00567CBE">
        <w:t xml:space="preserve"> in the inquiry.</w:t>
      </w:r>
      <w:r w:rsidR="00EF5A18">
        <w:rPr>
          <w:rStyle w:val="FootnoteReference"/>
        </w:rPr>
        <w:footnoteReference w:id="35"/>
      </w:r>
      <w:r w:rsidR="005430DF">
        <w:t xml:space="preserve"> </w:t>
      </w:r>
      <w:r w:rsidR="00CB5C82">
        <w:t xml:space="preserve">Failure to comply with an inquiry’s procedural order or direction is an </w:t>
      </w:r>
      <w:r w:rsidR="00CB5C82" w:rsidRPr="008F285F">
        <w:rPr>
          <w:rStyle w:val="Emphasis"/>
        </w:rPr>
        <w:t>offence</w:t>
      </w:r>
      <w:r w:rsidR="00CB5C82">
        <w:t>, punishable by a fine not exceeding $10,000.</w:t>
      </w:r>
      <w:r w:rsidR="0090391D">
        <w:rPr>
          <w:rStyle w:val="FootnoteReference"/>
        </w:rPr>
        <w:footnoteReference w:id="36"/>
      </w:r>
      <w:r w:rsidR="00CB5C82">
        <w:t xml:space="preserve"> </w:t>
      </w:r>
    </w:p>
    <w:p w:rsidR="00B323F6" w:rsidRDefault="008F285F" w:rsidP="007F603E">
      <w:pPr>
        <w:pStyle w:val="BodyText"/>
      </w:pPr>
      <w:r>
        <w:t xml:space="preserve">Section 18(c)(i) </w:t>
      </w:r>
      <w:r w:rsidR="00B323F6">
        <w:t xml:space="preserve">may be relied on to refuse a request for official information </w:t>
      </w:r>
      <w:r>
        <w:t xml:space="preserve">where release under the OIA would </w:t>
      </w:r>
      <w:r w:rsidR="00D76339">
        <w:rPr>
          <w:b/>
        </w:rPr>
        <w:t>contravene</w:t>
      </w:r>
      <w:r>
        <w:t xml:space="preserve"> an inquiry’s procedural order </w:t>
      </w:r>
      <w:r w:rsidR="00BB519B">
        <w:t>or direction, and constitute an</w:t>
      </w:r>
      <w:r>
        <w:t xml:space="preserve"> </w:t>
      </w:r>
      <w:r w:rsidRPr="00BB519B">
        <w:rPr>
          <w:b/>
        </w:rPr>
        <w:t>offence</w:t>
      </w:r>
      <w:r>
        <w:t xml:space="preserve"> under the Inquiries Act. </w:t>
      </w:r>
    </w:p>
    <w:p w:rsidR="00BB519B" w:rsidRDefault="00BB519B" w:rsidP="007F603E">
      <w:pPr>
        <w:pStyle w:val="BodyText"/>
      </w:pPr>
      <w:r>
        <w:t>This might arise where release under the OIA would, in effect, grant access to a part of the inquiry that has</w:t>
      </w:r>
      <w:r w:rsidR="00B323F6">
        <w:t>,</w:t>
      </w:r>
      <w:r>
        <w:t xml:space="preserve"> by order of the inquiry</w:t>
      </w:r>
      <w:r w:rsidR="00B323F6">
        <w:t>,</w:t>
      </w:r>
      <w:r>
        <w:t xml:space="preserve"> been restricted. It might also arise where one participant has applied to the inquiry for access to information supplied by another participant, and that application has been declined by the inquiry. </w:t>
      </w:r>
      <w:r w:rsidR="00B323F6">
        <w:t xml:space="preserve">Providing that information to the participant under the OIA would circumvent the inquiry’s direction. </w:t>
      </w:r>
    </w:p>
    <w:p w:rsidR="002C6B15" w:rsidRDefault="002C6B15" w:rsidP="007F603E">
      <w:pPr>
        <w:pStyle w:val="BodyText"/>
      </w:pPr>
      <w:r>
        <w:t>Agencies should be able to point to the specific order or direction, and say how release of the information at issue under the O</w:t>
      </w:r>
      <w:r w:rsidR="00620874">
        <w:t>I</w:t>
      </w:r>
      <w:r>
        <w:t xml:space="preserve">A would </w:t>
      </w:r>
      <w:r w:rsidR="00620874">
        <w:t>contravene it</w:t>
      </w:r>
      <w:r>
        <w:t xml:space="preserve">. If this is not clear, it may be appropriate to consult the members of the inquiry about whether release under the OIA would </w:t>
      </w:r>
      <w:r w:rsidR="00D76339">
        <w:t>contravene</w:t>
      </w:r>
      <w:r>
        <w:t xml:space="preserve"> its orders or directions. </w:t>
      </w:r>
    </w:p>
    <w:p w:rsidR="006E4B8F" w:rsidRDefault="008A0DE7" w:rsidP="00ED7F67">
      <w:pPr>
        <w:pStyle w:val="Heading2"/>
      </w:pPr>
      <w:bookmarkStart w:id="38" w:name="_Other_refusal_grounds"/>
      <w:bookmarkStart w:id="39" w:name="_Toc48123849"/>
      <w:bookmarkEnd w:id="38"/>
      <w:r>
        <w:t>Other refusal grounds</w:t>
      </w:r>
      <w:bookmarkEnd w:id="39"/>
    </w:p>
    <w:p w:rsidR="008A0DE7" w:rsidRDefault="001867E7" w:rsidP="008A0DE7">
      <w:pPr>
        <w:pStyle w:val="BodyText"/>
      </w:pPr>
      <w:r>
        <w:t>Other potentially relevant refusal grounds are canvassed briefly below.</w:t>
      </w:r>
    </w:p>
    <w:tbl>
      <w:tblPr>
        <w:tblStyle w:val="TableGrid"/>
        <w:tblW w:w="9297" w:type="dxa"/>
        <w:tblLayout w:type="fixed"/>
        <w:tblLook w:val="0620" w:firstRow="1" w:lastRow="0" w:firstColumn="0" w:lastColumn="0" w:noHBand="1" w:noVBand="1"/>
        <w:tblCaption w:val="Table for formatting purposes"/>
      </w:tblPr>
      <w:tblGrid>
        <w:gridCol w:w="1696"/>
        <w:gridCol w:w="7601"/>
      </w:tblGrid>
      <w:tr w:rsidR="00F12563" w:rsidRPr="00F12563" w:rsidTr="004447D1">
        <w:trPr>
          <w:cnfStyle w:val="100000000000" w:firstRow="1" w:lastRow="0" w:firstColumn="0" w:lastColumn="0" w:oddVBand="0" w:evenVBand="0" w:oddHBand="0" w:evenHBand="0" w:firstRowFirstColumn="0" w:firstRowLastColumn="0" w:lastRowFirstColumn="0" w:lastRowLastColumn="0"/>
          <w:cantSplit/>
          <w:tblHeader w:val="0"/>
        </w:trPr>
        <w:tc>
          <w:tcPr>
            <w:tcW w:w="1696" w:type="dxa"/>
            <w:shd w:val="clear" w:color="auto" w:fill="E9E9E9"/>
          </w:tcPr>
          <w:p w:rsidR="00F12563" w:rsidRPr="00F12563" w:rsidRDefault="003B7727" w:rsidP="00F12563">
            <w:pPr>
              <w:pStyle w:val="Tablesinglespacedparagraph"/>
              <w:rPr>
                <w:color w:val="000000" w:themeColor="text1"/>
              </w:rPr>
            </w:pPr>
            <w:hyperlink r:id="rId20" w:history="1">
              <w:r w:rsidR="00F12563" w:rsidRPr="00F12563">
                <w:rPr>
                  <w:rStyle w:val="Hyperlink"/>
                </w:rPr>
                <w:t>Section 6(a)</w:t>
              </w:r>
            </w:hyperlink>
          </w:p>
        </w:tc>
        <w:tc>
          <w:tcPr>
            <w:tcW w:w="7601" w:type="dxa"/>
            <w:shd w:val="clear" w:color="auto" w:fill="auto"/>
          </w:tcPr>
          <w:p w:rsidR="00F12563" w:rsidRPr="00F12563" w:rsidRDefault="00F12563" w:rsidP="00F12563">
            <w:pPr>
              <w:pStyle w:val="Tablesinglespacedparagraph"/>
              <w:rPr>
                <w:color w:val="000000" w:themeColor="text1"/>
              </w:rPr>
            </w:pPr>
            <w:r>
              <w:t xml:space="preserve">Provides good reason for withholding where release would be likely to prejudice New Zealand’s </w:t>
            </w:r>
            <w:r w:rsidRPr="001D084E">
              <w:rPr>
                <w:b/>
              </w:rPr>
              <w:t>security</w:t>
            </w:r>
            <w:r>
              <w:t xml:space="preserve">, </w:t>
            </w:r>
            <w:r w:rsidRPr="001D084E">
              <w:rPr>
                <w:b/>
              </w:rPr>
              <w:t>defence</w:t>
            </w:r>
            <w:r>
              <w:t xml:space="preserve"> or </w:t>
            </w:r>
            <w:r w:rsidRPr="001D084E">
              <w:rPr>
                <w:b/>
              </w:rPr>
              <w:t>international relations</w:t>
            </w:r>
            <w:r w:rsidR="003E6086">
              <w:rPr>
                <w:b/>
              </w:rPr>
              <w:t>.</w:t>
            </w:r>
          </w:p>
        </w:tc>
      </w:tr>
      <w:tr w:rsidR="00F12563" w:rsidTr="001D084E">
        <w:trPr>
          <w:cantSplit/>
        </w:trPr>
        <w:tc>
          <w:tcPr>
            <w:tcW w:w="1696" w:type="dxa"/>
            <w:shd w:val="clear" w:color="auto" w:fill="E9E9E9"/>
          </w:tcPr>
          <w:p w:rsidR="00F12563" w:rsidRDefault="003B7727" w:rsidP="00F12563">
            <w:pPr>
              <w:pStyle w:val="Tablesinglespacedparagraph"/>
            </w:pPr>
            <w:hyperlink r:id="rId21" w:history="1">
              <w:r w:rsidR="00F12563" w:rsidRPr="00FE773A">
                <w:rPr>
                  <w:rStyle w:val="Hyperlink"/>
                </w:rPr>
                <w:t>Section 6(b)</w:t>
              </w:r>
            </w:hyperlink>
          </w:p>
        </w:tc>
        <w:tc>
          <w:tcPr>
            <w:tcW w:w="7601" w:type="dxa"/>
          </w:tcPr>
          <w:p w:rsidR="00F12563" w:rsidRDefault="00F12563" w:rsidP="001D084E">
            <w:pPr>
              <w:pStyle w:val="Tablesinglespacedparagraph"/>
            </w:pPr>
            <w:r>
              <w:t xml:space="preserve">Provides good reason for withholding where release would be likely to prejudice the </w:t>
            </w:r>
            <w:r w:rsidR="001D084E">
              <w:t>entrusting</w:t>
            </w:r>
            <w:r>
              <w:t xml:space="preserve"> of </w:t>
            </w:r>
            <w:r w:rsidRPr="001D084E">
              <w:rPr>
                <w:b/>
              </w:rPr>
              <w:t>confidential</w:t>
            </w:r>
            <w:r>
              <w:t xml:space="preserve"> information to New Zealand by </w:t>
            </w:r>
            <w:r w:rsidRPr="001D084E">
              <w:rPr>
                <w:b/>
              </w:rPr>
              <w:t>another</w:t>
            </w:r>
            <w:r>
              <w:t xml:space="preserve"> </w:t>
            </w:r>
            <w:r w:rsidRPr="001D084E">
              <w:rPr>
                <w:b/>
              </w:rPr>
              <w:t>country</w:t>
            </w:r>
            <w:r>
              <w:t>.</w:t>
            </w:r>
          </w:p>
        </w:tc>
      </w:tr>
      <w:tr w:rsidR="00F12563" w:rsidTr="001D084E">
        <w:trPr>
          <w:cantSplit/>
        </w:trPr>
        <w:tc>
          <w:tcPr>
            <w:tcW w:w="1696" w:type="dxa"/>
            <w:shd w:val="clear" w:color="auto" w:fill="E9E9E9"/>
          </w:tcPr>
          <w:p w:rsidR="00F12563" w:rsidRDefault="003B7727" w:rsidP="009C7DA4">
            <w:pPr>
              <w:pStyle w:val="Tablesinglespacedparagraph"/>
              <w:widowControl w:val="0"/>
            </w:pPr>
            <w:hyperlink r:id="rId22" w:history="1">
              <w:r w:rsidR="00F12563" w:rsidRPr="00FE773A">
                <w:rPr>
                  <w:rStyle w:val="Hyperlink"/>
                </w:rPr>
                <w:t>Section 9(2)(a)</w:t>
              </w:r>
            </w:hyperlink>
          </w:p>
        </w:tc>
        <w:tc>
          <w:tcPr>
            <w:tcW w:w="7601" w:type="dxa"/>
          </w:tcPr>
          <w:p w:rsidR="003E6086" w:rsidRDefault="00F12563" w:rsidP="003E6086">
            <w:pPr>
              <w:pStyle w:val="Tablesinglespacedparagraph"/>
              <w:widowControl w:val="0"/>
            </w:pPr>
            <w:r>
              <w:t>P</w:t>
            </w:r>
            <w:r w:rsidRPr="00A822E0">
              <w:t xml:space="preserve">rovides good reason for withholding (subject to a </w:t>
            </w:r>
            <w:hyperlink w:anchor="_Public_interest_test_1" w:history="1">
              <w:r w:rsidRPr="00955039">
                <w:rPr>
                  <w:rStyle w:val="Hyperlink"/>
                </w:rPr>
                <w:t>public interest test</w:t>
              </w:r>
            </w:hyperlink>
            <w:r w:rsidRPr="00A822E0">
              <w:t>) where it is necessary</w:t>
            </w:r>
            <w:r>
              <w:t xml:space="preserve"> to protect the </w:t>
            </w:r>
            <w:r w:rsidRPr="001D084E">
              <w:rPr>
                <w:b/>
              </w:rPr>
              <w:t>privacy</w:t>
            </w:r>
            <w:r>
              <w:t xml:space="preserve"> of natural persons. It may be relevant where the matters under inquiry relate to the personal affairs of individuals.</w:t>
            </w:r>
          </w:p>
          <w:p w:rsidR="00F12563" w:rsidRDefault="00F12563" w:rsidP="003E6086">
            <w:pPr>
              <w:pStyle w:val="Tablesinglespacedparagraph"/>
              <w:widowControl w:val="0"/>
            </w:pPr>
            <w:r>
              <w:t xml:space="preserve">For more information see our </w:t>
            </w:r>
            <w:hyperlink r:id="rId23" w:history="1">
              <w:r w:rsidRPr="002D63E2">
                <w:rPr>
                  <w:rStyle w:val="Hyperlink"/>
                  <w:i/>
                </w:rPr>
                <w:t>P</w:t>
              </w:r>
              <w:r w:rsidR="00492496">
                <w:rPr>
                  <w:rStyle w:val="Hyperlink"/>
                  <w:i/>
                </w:rPr>
                <w:t>ractice guidelines on p</w:t>
              </w:r>
              <w:r w:rsidRPr="002D63E2">
                <w:rPr>
                  <w:rStyle w:val="Hyperlink"/>
                  <w:i/>
                </w:rPr>
                <w:t>rivacy</w:t>
              </w:r>
            </w:hyperlink>
            <w:r>
              <w:t>.</w:t>
            </w:r>
          </w:p>
        </w:tc>
      </w:tr>
      <w:tr w:rsidR="00F12563" w:rsidTr="001D084E">
        <w:trPr>
          <w:cantSplit/>
        </w:trPr>
        <w:tc>
          <w:tcPr>
            <w:tcW w:w="1696" w:type="dxa"/>
            <w:shd w:val="clear" w:color="auto" w:fill="E9E9E9"/>
          </w:tcPr>
          <w:p w:rsidR="00F12563" w:rsidRDefault="003B7727" w:rsidP="009C7DA4">
            <w:pPr>
              <w:pStyle w:val="Tablesinglespacedparagraph"/>
              <w:widowControl w:val="0"/>
            </w:pPr>
            <w:hyperlink r:id="rId24" w:history="1">
              <w:r w:rsidR="00F12563" w:rsidRPr="00FE773A">
                <w:rPr>
                  <w:rStyle w:val="Hyperlink"/>
                </w:rPr>
                <w:t>Section 9(2)(ba)</w:t>
              </w:r>
            </w:hyperlink>
          </w:p>
        </w:tc>
        <w:tc>
          <w:tcPr>
            <w:tcW w:w="7601" w:type="dxa"/>
          </w:tcPr>
          <w:p w:rsidR="009C48FF" w:rsidRDefault="00F12563" w:rsidP="009C7DA4">
            <w:pPr>
              <w:pStyle w:val="Tablesinglespacedparagraph"/>
              <w:widowControl w:val="0"/>
            </w:pPr>
            <w:r>
              <w:t>P</w:t>
            </w:r>
            <w:r w:rsidRPr="00A822E0">
              <w:t xml:space="preserve">rovides good reason for withholding (subject to a </w:t>
            </w:r>
            <w:hyperlink w:anchor="_Public_interest_test_1" w:history="1">
              <w:r w:rsidR="00CB5B93" w:rsidRPr="00955039">
                <w:rPr>
                  <w:rStyle w:val="Hyperlink"/>
                </w:rPr>
                <w:t>public interest test</w:t>
              </w:r>
            </w:hyperlink>
            <w:r w:rsidRPr="00A822E0">
              <w:t>) where it is necessary</w:t>
            </w:r>
            <w:r>
              <w:t xml:space="preserve"> to protect information subject to an </w:t>
            </w:r>
            <w:r w:rsidRPr="001D084E">
              <w:rPr>
                <w:b/>
              </w:rPr>
              <w:t>obligation of confidence</w:t>
            </w:r>
            <w:r>
              <w:t xml:space="preserve">, where release would </w:t>
            </w:r>
            <w:r w:rsidRPr="001D084E">
              <w:rPr>
                <w:b/>
              </w:rPr>
              <w:t>prejudice the ongoing supply</w:t>
            </w:r>
            <w:r>
              <w:t xml:space="preserve"> of similar information or information from the same source, or otherwise </w:t>
            </w:r>
            <w:r w:rsidRPr="001D084E">
              <w:rPr>
                <w:b/>
              </w:rPr>
              <w:t>damage the public interest</w:t>
            </w:r>
            <w:r>
              <w:t xml:space="preserve">. </w:t>
            </w:r>
          </w:p>
          <w:p w:rsidR="003A11FE" w:rsidRDefault="00F12563" w:rsidP="009C7DA4">
            <w:pPr>
              <w:pStyle w:val="Tablesinglespacedparagraph"/>
              <w:widowControl w:val="0"/>
            </w:pPr>
            <w:r>
              <w:t xml:space="preserve">Damage to the public interest would arise if release impeded an inquiry’s ability to get to the truth of a matter, while acting fairly and following the rules of natural justice. Those rules mean, for example, that people should have an opportunity to </w:t>
            </w:r>
            <w:r w:rsidR="003E6086">
              <w:t>respond</w:t>
            </w:r>
            <w:r>
              <w:t xml:space="preserve"> before adverse comment is made about them. </w:t>
            </w:r>
          </w:p>
          <w:p w:rsidR="00F12563" w:rsidRDefault="00F12563" w:rsidP="00492496">
            <w:pPr>
              <w:pStyle w:val="Tablesinglespacedparagraph"/>
              <w:widowControl w:val="0"/>
            </w:pPr>
            <w:r>
              <w:t xml:space="preserve">For more information see our </w:t>
            </w:r>
            <w:hyperlink r:id="rId25" w:history="1">
              <w:r w:rsidR="00492496">
                <w:rPr>
                  <w:rStyle w:val="Hyperlink"/>
                  <w:i/>
                </w:rPr>
                <w:t>Practice guidelines on c</w:t>
              </w:r>
              <w:r w:rsidRPr="00612092">
                <w:rPr>
                  <w:rStyle w:val="Hyperlink"/>
                  <w:i/>
                </w:rPr>
                <w:t>onfidentiality</w:t>
              </w:r>
            </w:hyperlink>
            <w:r w:rsidR="001867E7">
              <w:t>.</w:t>
            </w:r>
          </w:p>
        </w:tc>
      </w:tr>
      <w:tr w:rsidR="001867E7" w:rsidTr="001D084E">
        <w:trPr>
          <w:cantSplit/>
        </w:trPr>
        <w:tc>
          <w:tcPr>
            <w:tcW w:w="1696" w:type="dxa"/>
            <w:shd w:val="clear" w:color="auto" w:fill="E9E9E9"/>
          </w:tcPr>
          <w:p w:rsidR="001867E7" w:rsidRDefault="003B7727" w:rsidP="009C7DA4">
            <w:pPr>
              <w:pStyle w:val="Tablesinglespacedparagraph"/>
              <w:widowControl w:val="0"/>
            </w:pPr>
            <w:hyperlink r:id="rId26" w:history="1">
              <w:r w:rsidR="005330F6">
                <w:rPr>
                  <w:rStyle w:val="Hyperlink"/>
                </w:rPr>
                <w:t>Section 9(2)(g)(i</w:t>
              </w:r>
              <w:r w:rsidR="001867E7" w:rsidRPr="00FE773A">
                <w:rPr>
                  <w:rStyle w:val="Hyperlink"/>
                </w:rPr>
                <w:t>)</w:t>
              </w:r>
            </w:hyperlink>
          </w:p>
        </w:tc>
        <w:tc>
          <w:tcPr>
            <w:tcW w:w="7601" w:type="dxa"/>
          </w:tcPr>
          <w:p w:rsidR="009C48FF" w:rsidRDefault="001867E7" w:rsidP="009C7DA4">
            <w:pPr>
              <w:pStyle w:val="Tablesinglespacedparagraph"/>
              <w:widowControl w:val="0"/>
            </w:pPr>
            <w:r>
              <w:t>P</w:t>
            </w:r>
            <w:r w:rsidRPr="00A822E0">
              <w:t xml:space="preserve">rovides good reason for withholding (subject to a </w:t>
            </w:r>
            <w:hyperlink w:anchor="_Public_interest_test_1" w:history="1">
              <w:r w:rsidR="00CB5B93" w:rsidRPr="00955039">
                <w:rPr>
                  <w:rStyle w:val="Hyperlink"/>
                </w:rPr>
                <w:t>public interest test</w:t>
              </w:r>
            </w:hyperlink>
            <w:r w:rsidRPr="00A822E0">
              <w:t>) where it is necessary</w:t>
            </w:r>
            <w:r>
              <w:t xml:space="preserve"> to maintain the</w:t>
            </w:r>
            <w:r w:rsidR="001D084E">
              <w:t xml:space="preserve"> </w:t>
            </w:r>
            <w:r w:rsidR="001D084E" w:rsidRPr="001D084E">
              <w:rPr>
                <w:b/>
              </w:rPr>
              <w:t>effective conduct of public affairs</w:t>
            </w:r>
            <w:r w:rsidR="001D084E">
              <w:t xml:space="preserve"> through the</w:t>
            </w:r>
            <w:r>
              <w:t xml:space="preserve"> </w:t>
            </w:r>
            <w:r w:rsidRPr="001D084E">
              <w:rPr>
                <w:b/>
              </w:rPr>
              <w:t>free and frank expression of opinions</w:t>
            </w:r>
            <w:r>
              <w:t xml:space="preserve">. </w:t>
            </w:r>
          </w:p>
          <w:p w:rsidR="003A11FE" w:rsidRDefault="001867E7" w:rsidP="009C7DA4">
            <w:pPr>
              <w:pStyle w:val="Tablesinglespacedparagraph"/>
              <w:widowControl w:val="0"/>
            </w:pPr>
            <w:r>
              <w:t xml:space="preserve">This section may be relevant where release would impact on the open and honest exchange of views and opinions that are necessary to enable an inquiry to get to the truth of a matter. </w:t>
            </w:r>
          </w:p>
          <w:p w:rsidR="001867E7" w:rsidRDefault="001867E7" w:rsidP="009C7DA4">
            <w:pPr>
              <w:pStyle w:val="Tablesinglespacedparagraph"/>
              <w:widowControl w:val="0"/>
            </w:pPr>
            <w:r>
              <w:t xml:space="preserve">For more information see our </w:t>
            </w:r>
            <w:hyperlink r:id="rId27" w:history="1">
              <w:r w:rsidRPr="00170CA7">
                <w:rPr>
                  <w:rStyle w:val="Hyperlink"/>
                  <w:i/>
                </w:rPr>
                <w:t>Free and frank opinions</w:t>
              </w:r>
            </w:hyperlink>
            <w:r>
              <w:t xml:space="preserve"> guide.</w:t>
            </w:r>
          </w:p>
        </w:tc>
      </w:tr>
      <w:tr w:rsidR="001867E7" w:rsidTr="001D084E">
        <w:trPr>
          <w:cantSplit/>
        </w:trPr>
        <w:tc>
          <w:tcPr>
            <w:tcW w:w="1696" w:type="dxa"/>
            <w:shd w:val="clear" w:color="auto" w:fill="E9E9E9"/>
          </w:tcPr>
          <w:p w:rsidR="001867E7" w:rsidRDefault="003B7727" w:rsidP="009C7DA4">
            <w:pPr>
              <w:pStyle w:val="Tablesinglespacedparagraph"/>
              <w:widowControl w:val="0"/>
            </w:pPr>
            <w:hyperlink r:id="rId28" w:history="1">
              <w:r w:rsidR="001867E7" w:rsidRPr="00FE773A">
                <w:rPr>
                  <w:rStyle w:val="Hyperlink"/>
                </w:rPr>
                <w:t>Section 9(2)(h)</w:t>
              </w:r>
            </w:hyperlink>
          </w:p>
        </w:tc>
        <w:tc>
          <w:tcPr>
            <w:tcW w:w="7601" w:type="dxa"/>
          </w:tcPr>
          <w:p w:rsidR="009C48FF" w:rsidRDefault="001867E7" w:rsidP="009C7DA4">
            <w:pPr>
              <w:pStyle w:val="Tablesinglespacedparagraph"/>
              <w:widowControl w:val="0"/>
            </w:pPr>
            <w:r>
              <w:t>P</w:t>
            </w:r>
            <w:r w:rsidRPr="00A822E0">
              <w:t xml:space="preserve">rovides good reason for withholding (subject to a </w:t>
            </w:r>
            <w:hyperlink w:anchor="_Public_interest_test_1" w:history="1">
              <w:r w:rsidR="00CB5B93" w:rsidRPr="00955039">
                <w:rPr>
                  <w:rStyle w:val="Hyperlink"/>
                </w:rPr>
                <w:t>public interest test</w:t>
              </w:r>
            </w:hyperlink>
            <w:r w:rsidRPr="00A822E0">
              <w:t>) where it is necessary</w:t>
            </w:r>
            <w:r>
              <w:t xml:space="preserve"> </w:t>
            </w:r>
            <w:r w:rsidR="00B71F41">
              <w:t xml:space="preserve">to </w:t>
            </w:r>
            <w:r>
              <w:t xml:space="preserve">maintain </w:t>
            </w:r>
            <w:r w:rsidRPr="001D084E">
              <w:rPr>
                <w:b/>
              </w:rPr>
              <w:t>legal professional privilege</w:t>
            </w:r>
            <w:r>
              <w:t xml:space="preserve">. </w:t>
            </w:r>
          </w:p>
          <w:p w:rsidR="003A11FE" w:rsidRDefault="001867E7" w:rsidP="009C7DA4">
            <w:pPr>
              <w:pStyle w:val="Tablesinglespacedparagraph"/>
              <w:widowControl w:val="0"/>
            </w:pPr>
            <w:r w:rsidRPr="003D4A93">
              <w:t xml:space="preserve">This section </w:t>
            </w:r>
            <w:r>
              <w:t>will apply</w:t>
            </w:r>
            <w:r w:rsidRPr="003D4A93">
              <w:t xml:space="preserve"> to confidential communications between a solicitor and client for the purpose of giving or receiving legal advice (known as solicitor-client</w:t>
            </w:r>
            <w:r>
              <w:t xml:space="preserve"> privilege). </w:t>
            </w:r>
          </w:p>
          <w:p w:rsidR="001867E7" w:rsidRDefault="001867E7" w:rsidP="00492496">
            <w:pPr>
              <w:pStyle w:val="Tablesinglespacedparagraph"/>
              <w:widowControl w:val="0"/>
            </w:pPr>
            <w:r>
              <w:t xml:space="preserve">For more information see our </w:t>
            </w:r>
            <w:hyperlink r:id="rId29" w:history="1">
              <w:r w:rsidR="00492496">
                <w:rPr>
                  <w:rStyle w:val="Hyperlink"/>
                  <w:i/>
                </w:rPr>
                <w:t>Practice guidelines on l</w:t>
              </w:r>
              <w:r w:rsidRPr="002B1E15">
                <w:rPr>
                  <w:rStyle w:val="Hyperlink"/>
                  <w:i/>
                </w:rPr>
                <w:t>egal professional privilege</w:t>
              </w:r>
            </w:hyperlink>
            <w:r>
              <w:t>.</w:t>
            </w:r>
          </w:p>
        </w:tc>
      </w:tr>
      <w:tr w:rsidR="001867E7" w:rsidTr="001D084E">
        <w:trPr>
          <w:cantSplit/>
        </w:trPr>
        <w:tc>
          <w:tcPr>
            <w:tcW w:w="1696" w:type="dxa"/>
            <w:shd w:val="clear" w:color="auto" w:fill="E9E9E9"/>
          </w:tcPr>
          <w:p w:rsidR="001867E7" w:rsidRDefault="003B7727" w:rsidP="009C7DA4">
            <w:pPr>
              <w:pStyle w:val="Tablesinglespacedparagraph"/>
              <w:widowControl w:val="0"/>
            </w:pPr>
            <w:hyperlink r:id="rId30" w:history="1">
              <w:r w:rsidR="001867E7" w:rsidRPr="00112025">
                <w:rPr>
                  <w:rStyle w:val="Hyperlink"/>
                </w:rPr>
                <w:t>Section 18(d)</w:t>
              </w:r>
            </w:hyperlink>
          </w:p>
        </w:tc>
        <w:tc>
          <w:tcPr>
            <w:tcW w:w="7601" w:type="dxa"/>
          </w:tcPr>
          <w:p w:rsidR="009C48FF" w:rsidRDefault="001867E7" w:rsidP="009C7DA4">
            <w:pPr>
              <w:pStyle w:val="Tablesinglespacedparagraph"/>
              <w:widowControl w:val="0"/>
            </w:pPr>
            <w:r>
              <w:t xml:space="preserve">Provides that a request may be refused if the information is or will soon be </w:t>
            </w:r>
            <w:r w:rsidRPr="001D084E">
              <w:rPr>
                <w:b/>
              </w:rPr>
              <w:t>publicly available</w:t>
            </w:r>
            <w:r w:rsidR="001D084E">
              <w:t>.</w:t>
            </w:r>
            <w:r>
              <w:t xml:space="preserve"> </w:t>
            </w:r>
          </w:p>
          <w:p w:rsidR="009C48FF" w:rsidRDefault="001867E7" w:rsidP="009C7DA4">
            <w:pPr>
              <w:pStyle w:val="Tablesinglespacedparagraph"/>
              <w:widowControl w:val="0"/>
            </w:pPr>
            <w:r>
              <w:t xml:space="preserve">This section may be relevant in the very late stages of an inquiry, where the agency is reasonably certain that the specific information at issue (not just the inquiry report, unless that report reproduces the information at issue exactly and in full) will be published in the near future. </w:t>
            </w:r>
          </w:p>
          <w:p w:rsidR="003A11FE" w:rsidRDefault="001867E7" w:rsidP="009C7DA4">
            <w:pPr>
              <w:pStyle w:val="Tablesinglespacedparagraph"/>
              <w:widowControl w:val="0"/>
            </w:pPr>
            <w:r>
              <w:t xml:space="preserve">It will not be relevant in the early stages, when it is not clear when the inquiry will conclude, or whether the specific information at issue will be published. </w:t>
            </w:r>
          </w:p>
          <w:p w:rsidR="001867E7" w:rsidRDefault="001867E7" w:rsidP="009C7DA4">
            <w:pPr>
              <w:pStyle w:val="Tablesinglespacedparagraph"/>
              <w:widowControl w:val="0"/>
            </w:pPr>
            <w:r>
              <w:t xml:space="preserve">For more information see our </w:t>
            </w:r>
            <w:hyperlink r:id="rId31" w:history="1">
              <w:r w:rsidRPr="00D4714C">
                <w:rPr>
                  <w:rStyle w:val="Hyperlink"/>
                  <w:i/>
                </w:rPr>
                <w:t>Publicly available information</w:t>
              </w:r>
            </w:hyperlink>
            <w:r>
              <w:t xml:space="preserve"> guide. </w:t>
            </w:r>
          </w:p>
        </w:tc>
      </w:tr>
      <w:bookmarkStart w:id="40" w:name="section18g"/>
      <w:bookmarkEnd w:id="40"/>
      <w:tr w:rsidR="001867E7" w:rsidTr="001D084E">
        <w:trPr>
          <w:cantSplit/>
        </w:trPr>
        <w:tc>
          <w:tcPr>
            <w:tcW w:w="1696" w:type="dxa"/>
            <w:shd w:val="clear" w:color="auto" w:fill="E9E9E9"/>
          </w:tcPr>
          <w:p w:rsidR="001867E7" w:rsidRDefault="0006120F" w:rsidP="009C7DA4">
            <w:pPr>
              <w:pStyle w:val="Tablesinglespacedparagraph"/>
              <w:widowControl w:val="0"/>
            </w:pPr>
            <w:r>
              <w:fldChar w:fldCharType="begin"/>
            </w:r>
            <w:r>
              <w:instrText xml:space="preserve"> HYPERLINK "http://www.legislation.govt.nz/act/public/1982/0156/latest/DLM65600.html" </w:instrText>
            </w:r>
            <w:r>
              <w:fldChar w:fldCharType="separate"/>
            </w:r>
            <w:r w:rsidR="001867E7" w:rsidRPr="00112025">
              <w:rPr>
                <w:rStyle w:val="Hyperlink"/>
              </w:rPr>
              <w:t>Section 18(g)</w:t>
            </w:r>
            <w:r>
              <w:rPr>
                <w:rStyle w:val="Hyperlink"/>
              </w:rPr>
              <w:fldChar w:fldCharType="end"/>
            </w:r>
          </w:p>
        </w:tc>
        <w:tc>
          <w:tcPr>
            <w:tcW w:w="7601" w:type="dxa"/>
          </w:tcPr>
          <w:p w:rsidR="009C48FF" w:rsidRDefault="001867E7" w:rsidP="009C7DA4">
            <w:pPr>
              <w:pStyle w:val="Tablesinglespacedparagraph"/>
              <w:widowControl w:val="0"/>
            </w:pPr>
            <w:r>
              <w:t xml:space="preserve">Provides that a request may be refused if the </w:t>
            </w:r>
            <w:r w:rsidRPr="001D084E">
              <w:rPr>
                <w:b/>
              </w:rPr>
              <w:t>information is not held</w:t>
            </w:r>
            <w:r>
              <w:t xml:space="preserve">. </w:t>
            </w:r>
          </w:p>
          <w:p w:rsidR="009C48FF" w:rsidRDefault="001867E7" w:rsidP="009C7DA4">
            <w:pPr>
              <w:pStyle w:val="Tablesinglespacedparagraph"/>
              <w:widowControl w:val="0"/>
            </w:pPr>
            <w:r>
              <w:t xml:space="preserve">This section may be relevant if what the requester wants is not held, but would need to be created, for example, by generating opinions or explanations that do not already exist. </w:t>
            </w:r>
          </w:p>
          <w:p w:rsidR="009C48FF" w:rsidRDefault="008B1BE5" w:rsidP="009C48FF">
            <w:pPr>
              <w:pStyle w:val="Tablesinglespacedparagraph"/>
              <w:widowControl w:val="0"/>
            </w:pPr>
            <w:r>
              <w:t xml:space="preserve">It will also be relevant where the </w:t>
            </w:r>
            <w:r w:rsidR="009C48FF">
              <w:t xml:space="preserve">requested </w:t>
            </w:r>
            <w:r>
              <w:t xml:space="preserve">information is physically held, but excluded from the definition of </w:t>
            </w:r>
            <w:r>
              <w:rPr>
                <w:i/>
              </w:rPr>
              <w:t>‘official information’</w:t>
            </w:r>
            <w:r>
              <w:t xml:space="preserve">, for example, because it is subject to a </w:t>
            </w:r>
            <w:hyperlink w:anchor="_Non-publication_orders_1" w:history="1">
              <w:r w:rsidRPr="008B1BE5">
                <w:rPr>
                  <w:rStyle w:val="Hyperlink"/>
                </w:rPr>
                <w:t>non-publication order</w:t>
              </w:r>
            </w:hyperlink>
            <w:r>
              <w:t xml:space="preserve"> under section 15(1)(a) of the Inquiries Act.</w:t>
            </w:r>
          </w:p>
          <w:p w:rsidR="001867E7" w:rsidRDefault="003A11FE" w:rsidP="003A11FE">
            <w:pPr>
              <w:pStyle w:val="Tablesinglespacedparagraph"/>
              <w:widowControl w:val="0"/>
            </w:pPr>
            <w:r>
              <w:t>For more information see</w:t>
            </w:r>
            <w:r w:rsidR="001867E7">
              <w:t xml:space="preserve"> our</w:t>
            </w:r>
            <w:r w:rsidR="0039155B">
              <w:t xml:space="preserve"> </w:t>
            </w:r>
            <w:r w:rsidR="001867E7">
              <w:t xml:space="preserve"> </w:t>
            </w:r>
            <w:hyperlink r:id="rId32" w:history="1">
              <w:r w:rsidR="001867E7" w:rsidRPr="00CD52C3">
                <w:rPr>
                  <w:rStyle w:val="Hyperlink"/>
                  <w:i/>
                </w:rPr>
                <w:t>Information not held</w:t>
              </w:r>
            </w:hyperlink>
            <w:r w:rsidR="001867E7">
              <w:t xml:space="preserve"> guide.  </w:t>
            </w:r>
          </w:p>
        </w:tc>
      </w:tr>
    </w:tbl>
    <w:p w:rsidR="00F12563" w:rsidRDefault="00F12563" w:rsidP="007F6F0C">
      <w:pPr>
        <w:pStyle w:val="BodyText"/>
      </w:pPr>
    </w:p>
    <w:tbl>
      <w:tblPr>
        <w:tblStyle w:val="TableBox"/>
        <w:tblW w:w="9297" w:type="dxa"/>
        <w:tblLayout w:type="fixed"/>
        <w:tblLook w:val="04A0" w:firstRow="1" w:lastRow="0" w:firstColumn="1" w:lastColumn="0" w:noHBand="0" w:noVBand="1"/>
        <w:tblCaption w:val="Box to emphasise text"/>
      </w:tblPr>
      <w:tblGrid>
        <w:gridCol w:w="9297"/>
      </w:tblGrid>
      <w:tr w:rsidR="00846056" w:rsidTr="00083D45">
        <w:tc>
          <w:tcPr>
            <w:tcW w:w="9297" w:type="dxa"/>
          </w:tcPr>
          <w:p w:rsidR="00846056" w:rsidRPr="007D5753" w:rsidRDefault="00846056" w:rsidP="009C7DA4">
            <w:pPr>
              <w:pStyle w:val="Headingboxtexttop"/>
              <w:widowControl w:val="0"/>
            </w:pPr>
            <w:r>
              <w:t>What about section 18(c)(ii)?</w:t>
            </w:r>
          </w:p>
          <w:p w:rsidR="009C7DA4" w:rsidRDefault="00634A42" w:rsidP="009C7DA4">
            <w:pPr>
              <w:pStyle w:val="Boxsmalltext"/>
              <w:widowControl w:val="0"/>
              <w:spacing w:after="60"/>
            </w:pPr>
            <w:r>
              <w:t xml:space="preserve">Section 18(c)(ii) of the OIA provides that a request may be refused if </w:t>
            </w:r>
            <w:r w:rsidR="006A7F9E">
              <w:t xml:space="preserve">release of the information would </w:t>
            </w:r>
            <w:r w:rsidR="00C14B34" w:rsidRPr="00C14B34">
              <w:rPr>
                <w:i/>
              </w:rPr>
              <w:t>‘</w:t>
            </w:r>
            <w:r w:rsidR="006A7F9E" w:rsidRPr="00C14B34">
              <w:rPr>
                <w:i/>
              </w:rPr>
              <w:t>constitute contempt of court</w:t>
            </w:r>
            <w:r w:rsidR="00C14B34" w:rsidRPr="00C14B34">
              <w:rPr>
                <w:i/>
              </w:rPr>
              <w:t>’</w:t>
            </w:r>
            <w:r w:rsidR="006A7F9E">
              <w:t xml:space="preserve">. </w:t>
            </w:r>
            <w:r w:rsidR="00174240">
              <w:t xml:space="preserve">However, </w:t>
            </w:r>
            <w:r w:rsidR="009C7DA4" w:rsidRPr="008F620A">
              <w:rPr>
                <w:b/>
              </w:rPr>
              <w:t>inquiries are not courts</w:t>
            </w:r>
            <w:r w:rsidR="009C7DA4">
              <w:t>:</w:t>
            </w:r>
            <w:r w:rsidR="009C7DA4">
              <w:rPr>
                <w:rStyle w:val="FootnoteReference"/>
              </w:rPr>
              <w:footnoteReference w:id="37"/>
            </w:r>
          </w:p>
          <w:p w:rsidR="009C7DA4" w:rsidRDefault="009C7DA4" w:rsidP="009C7DA4">
            <w:pPr>
              <w:pStyle w:val="TableQuotationseparateparagraph"/>
            </w:pPr>
            <w:r w:rsidRPr="009C7DA4">
              <w:t xml:space="preserve">A Commission of Inquiry is certainly not a Court of law. Courts of law by ancient usage have formulated their own rules of procedure and rights of audience, representation, and the like which are now well defined: see </w:t>
            </w:r>
            <w:r w:rsidRPr="005137BD">
              <w:rPr>
                <w:i w:val="0"/>
              </w:rPr>
              <w:t>Collier v Hicks</w:t>
            </w:r>
            <w:r w:rsidRPr="009C7DA4">
              <w:t xml:space="preserve"> (1831) 2 B. &amp; Ad. 663, 671; 109 </w:t>
            </w:r>
            <w:r w:rsidRPr="009C7DA4">
              <w:lastRenderedPageBreak/>
              <w:t>E.R. 1290, 1293. Nor is a Commission of Inquiry to be likened to an administrative tribunal entrusted with the duty of deciding questions between parties. There is nothing approaching a lis</w:t>
            </w:r>
            <w:r w:rsidR="00B71F41">
              <w:t xml:space="preserve"> [a suit or action at law]</w:t>
            </w:r>
            <w:r w:rsidRPr="009C7DA4">
              <w:t>, a Commission has no general power of adjudication, it determines nobody's rights, its report is binding on no one.</w:t>
            </w:r>
          </w:p>
          <w:p w:rsidR="00960FAD" w:rsidRDefault="00960FAD" w:rsidP="00960FAD">
            <w:pPr>
              <w:pStyle w:val="Boxsmalltext"/>
              <w:widowControl w:val="0"/>
            </w:pPr>
            <w:r>
              <w:t xml:space="preserve">Section 26(2)(b) of the Inquiries Act provides that </w:t>
            </w:r>
            <w:r w:rsidR="004B151A">
              <w:t>inquiries and the</w:t>
            </w:r>
            <w:r w:rsidR="00206A47">
              <w:t>ir</w:t>
            </w:r>
            <w:r w:rsidR="004B151A">
              <w:t xml:space="preserve"> members and officers</w:t>
            </w:r>
            <w:r>
              <w:t xml:space="preserve"> cannot </w:t>
            </w:r>
            <w:r w:rsidRPr="00960FAD">
              <w:rPr>
                <w:i/>
              </w:rPr>
              <w:t>‘be compelled to give evidence in court or in any proceedings of a judicial nature in relation to the inquiry’</w:t>
            </w:r>
            <w:r>
              <w:t xml:space="preserve"> without leave of the court. From this it follows that an inquiry is not seen to be a court, or as performing functions </w:t>
            </w:r>
            <w:r w:rsidRPr="004B151A">
              <w:rPr>
                <w:i/>
              </w:rPr>
              <w:t>‘of a judicial nature’.</w:t>
            </w:r>
          </w:p>
          <w:p w:rsidR="00846056" w:rsidRDefault="00960FAD" w:rsidP="004B151A">
            <w:pPr>
              <w:pStyle w:val="Boxsmalltext"/>
              <w:widowControl w:val="0"/>
            </w:pPr>
            <w:r>
              <w:t xml:space="preserve">Section 27 </w:t>
            </w:r>
            <w:r w:rsidR="004B151A">
              <w:t xml:space="preserve">of the Inquiries Act </w:t>
            </w:r>
            <w:r>
              <w:t xml:space="preserve">grants certain immunities </w:t>
            </w:r>
            <w:r w:rsidRPr="008F620A">
              <w:rPr>
                <w:i/>
              </w:rPr>
              <w:t xml:space="preserve">‘as if’ </w:t>
            </w:r>
            <w:r>
              <w:t>the proceedings were civil proceedings in a court</w:t>
            </w:r>
            <w:r w:rsidR="008F620A">
              <w:t>,</w:t>
            </w:r>
            <w:r>
              <w:t xml:space="preserve"> and for that purpose applies subpart 8</w:t>
            </w:r>
            <w:r w:rsidR="004B151A">
              <w:t xml:space="preserve"> of Part 2 of the Evidence Act</w:t>
            </w:r>
            <w:r w:rsidR="008F620A">
              <w:t xml:space="preserve"> 2006</w:t>
            </w:r>
            <w:r w:rsidR="004B151A">
              <w:t xml:space="preserve">. </w:t>
            </w:r>
            <w:r w:rsidR="008F620A">
              <w:t>That</w:t>
            </w:r>
            <w:r w:rsidR="004B151A">
              <w:t xml:space="preserve"> section also </w:t>
            </w:r>
            <w:r>
              <w:t xml:space="preserve">distinguishes inquiries from courts. The use of the expression </w:t>
            </w:r>
            <w:r w:rsidRPr="008F620A">
              <w:rPr>
                <w:i/>
              </w:rPr>
              <w:t>‘as if’</w:t>
            </w:r>
            <w:r>
              <w:t xml:space="preserve"> recognises that an inquiry is not a court</w:t>
            </w:r>
            <w:r w:rsidR="008F620A">
              <w:t>,</w:t>
            </w:r>
            <w:r>
              <w:t xml:space="preserve"> and the relevance of the Evidence Act in this context is to define the scope of the immunit</w:t>
            </w:r>
            <w:r w:rsidR="008F620A">
              <w:t>ies</w:t>
            </w:r>
            <w:r>
              <w:t xml:space="preserve"> enjoyed.</w:t>
            </w:r>
          </w:p>
          <w:p w:rsidR="00933BD1" w:rsidRDefault="008F620A" w:rsidP="00D61216">
            <w:pPr>
              <w:pStyle w:val="Boxsmalltext"/>
              <w:widowControl w:val="0"/>
            </w:pPr>
            <w:r>
              <w:t xml:space="preserve">As inquiries are not courts, section 18(c)(ii) of the OIA cannot apply where release would constitute contempt of an inquiry. </w:t>
            </w:r>
            <w:r w:rsidR="000016D7">
              <w:t xml:space="preserve">However, as discussed </w:t>
            </w:r>
            <w:r w:rsidR="000016D7" w:rsidRPr="0007209D">
              <w:t>above</w:t>
            </w:r>
            <w:r w:rsidR="000016D7">
              <w:t xml:space="preserve">, </w:t>
            </w:r>
            <w:hyperlink w:anchor="_Release_would_be" w:history="1">
              <w:r w:rsidR="000016D7" w:rsidRPr="0007209D">
                <w:rPr>
                  <w:rStyle w:val="Hyperlink"/>
                </w:rPr>
                <w:t>section 18(c)(i)</w:t>
              </w:r>
            </w:hyperlink>
            <w:r w:rsidR="000016D7">
              <w:t xml:space="preserve"> may be relied on to refuse a request for official information where release under the OIA would </w:t>
            </w:r>
            <w:r w:rsidR="00815AE3">
              <w:rPr>
                <w:b/>
              </w:rPr>
              <w:t>contravene</w:t>
            </w:r>
            <w:r w:rsidR="000016D7">
              <w:t xml:space="preserve"> an inquiry’s procedural order or direction, and constitute an </w:t>
            </w:r>
            <w:r w:rsidR="000016D7" w:rsidRPr="00BB519B">
              <w:rPr>
                <w:b/>
              </w:rPr>
              <w:t>offence</w:t>
            </w:r>
            <w:r w:rsidR="00D61216">
              <w:t xml:space="preserve"> under the Inquiries Act.</w:t>
            </w:r>
          </w:p>
        </w:tc>
      </w:tr>
    </w:tbl>
    <w:p w:rsidR="002562EA" w:rsidRDefault="002562EA" w:rsidP="002562EA">
      <w:pPr>
        <w:pStyle w:val="Whitespace"/>
      </w:pPr>
      <w:bookmarkStart w:id="41" w:name="_Public_interest_test"/>
      <w:bookmarkEnd w:id="41"/>
    </w:p>
    <w:p w:rsidR="008A0DE7" w:rsidRDefault="003B1233" w:rsidP="002461A3">
      <w:pPr>
        <w:pStyle w:val="Heading3"/>
      </w:pPr>
      <w:bookmarkStart w:id="42" w:name="_Public_interest_test_1"/>
      <w:bookmarkEnd w:id="42"/>
      <w:r>
        <w:t>Public interest test</w:t>
      </w:r>
    </w:p>
    <w:p w:rsidR="003B1233" w:rsidRDefault="003B1233" w:rsidP="00270314">
      <w:pPr>
        <w:pStyle w:val="BodyText"/>
      </w:pPr>
      <w:r>
        <w:t xml:space="preserve">The withholding grounds in section 9 of the </w:t>
      </w:r>
      <w:r w:rsidR="00E369B5">
        <w:t xml:space="preserve">OIA </w:t>
      </w:r>
      <w:r w:rsidR="00BB3407">
        <w:t xml:space="preserve">are subject to a public interest test. </w:t>
      </w:r>
      <w:r w:rsidR="00270314">
        <w:t xml:space="preserve">This means the predicted harm needs to be balanced against the countervailing public interest in release. If the countervailing public interest weighs more heavily, the information must be released. If not, it can be withheld. </w:t>
      </w:r>
    </w:p>
    <w:p w:rsidR="0081546B" w:rsidRDefault="0081546B" w:rsidP="00FD54BB">
      <w:pPr>
        <w:pStyle w:val="BodyText"/>
        <w:spacing w:after="120"/>
      </w:pPr>
      <w:r>
        <w:t xml:space="preserve">In assessing the public interest in </w:t>
      </w:r>
      <w:r w:rsidR="00E369B5">
        <w:t>release</w:t>
      </w:r>
      <w:r>
        <w:t>, it may be helpful to consider the following comments by the Law Commission:</w:t>
      </w:r>
      <w:r>
        <w:rPr>
          <w:rStyle w:val="FootnoteReference"/>
        </w:rPr>
        <w:footnoteReference w:id="38"/>
      </w:r>
    </w:p>
    <w:p w:rsidR="007965E9" w:rsidRDefault="00622F00" w:rsidP="00FD54BB">
      <w:pPr>
        <w:pStyle w:val="Quotationseparateparagraph"/>
      </w:pPr>
      <w:r>
        <w:t>Inquiries are often set up to re-establish public confidence. Public confidence</w:t>
      </w:r>
      <w:r w:rsidR="00FD54BB">
        <w:t xml:space="preserve"> </w:t>
      </w:r>
      <w:r w:rsidRPr="00FD54BB">
        <w:t>and perceptions of independence are likely to be maximised by an open process.</w:t>
      </w:r>
      <w:r w:rsidR="00FD54BB" w:rsidRPr="00FD54BB">
        <w:t xml:space="preserve"> </w:t>
      </w:r>
      <w:r>
        <w:t xml:space="preserve">The Salmon Royal Commission on Tribunals of Inquiry emphasised: </w:t>
      </w:r>
      <w:r w:rsidR="00A03130" w:rsidRPr="00D13B88">
        <w:rPr>
          <w:i w:val="0"/>
        </w:rPr>
        <w:t>‘</w:t>
      </w:r>
      <w:r w:rsidRPr="00D13B88">
        <w:rPr>
          <w:i w:val="0"/>
        </w:rPr>
        <w:t>[i]t is only</w:t>
      </w:r>
      <w:r w:rsidR="00A03130" w:rsidRPr="00D13B88">
        <w:rPr>
          <w:i w:val="0"/>
        </w:rPr>
        <w:t xml:space="preserve"> </w:t>
      </w:r>
      <w:r w:rsidRPr="00D13B88">
        <w:rPr>
          <w:i w:val="0"/>
        </w:rPr>
        <w:t>when the public is present that the public will have complete confidence</w:t>
      </w:r>
      <w:r w:rsidR="00A03130" w:rsidRPr="00D13B88">
        <w:rPr>
          <w:i w:val="0"/>
        </w:rPr>
        <w:t xml:space="preserve"> </w:t>
      </w:r>
      <w:r w:rsidRPr="00D13B88">
        <w:rPr>
          <w:i w:val="0"/>
        </w:rPr>
        <w:t>that everything possible has been done for the pu</w:t>
      </w:r>
      <w:r w:rsidR="00A03130" w:rsidRPr="00D13B88">
        <w:rPr>
          <w:i w:val="0"/>
        </w:rPr>
        <w:t>rpose of arriving at the truth’.</w:t>
      </w:r>
      <w:r w:rsidR="00A03130" w:rsidRPr="00FD54BB">
        <w:t xml:space="preserve"> </w:t>
      </w:r>
      <w:r w:rsidRPr="00FD54BB">
        <w:t>The more open an inquiry, the harder it is to denounce it as a whitewash.</w:t>
      </w:r>
      <w:r w:rsidR="00A03130" w:rsidRPr="00FD54BB">
        <w:t xml:space="preserve"> </w:t>
      </w:r>
      <w:r w:rsidRPr="00FD54BB">
        <w:t>While inquiries are an executive tool, the public also has a proprietary interest in an</w:t>
      </w:r>
      <w:r w:rsidR="00A03130" w:rsidRPr="00FD54BB">
        <w:t xml:space="preserve"> </w:t>
      </w:r>
      <w:r w:rsidRPr="00FD54BB">
        <w:t>inquiry. Inquiries are publicly funded and there is an expectation that in general</w:t>
      </w:r>
      <w:r w:rsidR="00A03130" w:rsidRPr="00FD54BB">
        <w:t xml:space="preserve"> </w:t>
      </w:r>
      <w:r w:rsidRPr="00FD54BB">
        <w:t>the public should have access to them, unless there are clear reasons otherwise.</w:t>
      </w:r>
      <w:r w:rsidR="00A03130" w:rsidRPr="00FD54BB">
        <w:t xml:space="preserve"> </w:t>
      </w:r>
    </w:p>
    <w:p w:rsidR="00A10311" w:rsidRPr="00FD54BB" w:rsidRDefault="00A10311" w:rsidP="00A10311">
      <w:pPr>
        <w:pStyle w:val="BodyText"/>
      </w:pPr>
      <w:r>
        <w:lastRenderedPageBreak/>
        <w:t xml:space="preserve">More information </w:t>
      </w:r>
      <w:r w:rsidR="005017F9">
        <w:rPr>
          <w:szCs w:val="24"/>
        </w:rPr>
        <w:t xml:space="preserve">on how to do the public interest test, and </w:t>
      </w:r>
      <w:r w:rsidR="005017F9" w:rsidRPr="00EC43C8">
        <w:rPr>
          <w:szCs w:val="24"/>
        </w:rPr>
        <w:t xml:space="preserve">factors that can affect the weight of the public interest in disclosure can be found in our </w:t>
      </w:r>
      <w:hyperlink r:id="rId33" w:history="1">
        <w:r w:rsidR="005017F9" w:rsidRPr="00931237">
          <w:rPr>
            <w:rStyle w:val="Hyperlink"/>
            <w:i/>
            <w:szCs w:val="24"/>
          </w:rPr>
          <w:t>Public interest</w:t>
        </w:r>
      </w:hyperlink>
      <w:r w:rsidR="005017F9" w:rsidRPr="00EC43C8">
        <w:rPr>
          <w:szCs w:val="24"/>
        </w:rPr>
        <w:t xml:space="preserve"> guide</w:t>
      </w:r>
      <w:r w:rsidR="005017F9">
        <w:rPr>
          <w:szCs w:val="24"/>
        </w:rPr>
        <w:t>.</w:t>
      </w:r>
    </w:p>
    <w:p w:rsidR="001F305C" w:rsidRDefault="001F305C" w:rsidP="00FE48A4">
      <w:pPr>
        <w:pStyle w:val="Heading1"/>
      </w:pPr>
      <w:bookmarkStart w:id="43" w:name="_Inquiries_under_the"/>
      <w:bookmarkStart w:id="44" w:name="_Toc48123850"/>
      <w:bookmarkEnd w:id="43"/>
      <w:r>
        <w:t>Further information</w:t>
      </w:r>
      <w:bookmarkEnd w:id="44"/>
      <w:r>
        <w:t xml:space="preserve"> </w:t>
      </w:r>
    </w:p>
    <w:p w:rsidR="000548F1" w:rsidRDefault="008734DD" w:rsidP="00911F23">
      <w:pPr>
        <w:pStyle w:val="BodyText"/>
      </w:pPr>
      <w:r>
        <w:t>Appended to this guide are</w:t>
      </w:r>
      <w:r w:rsidR="000548F1">
        <w:t>:</w:t>
      </w:r>
    </w:p>
    <w:p w:rsidR="000548F1" w:rsidRDefault="00023FF5" w:rsidP="000548F1">
      <w:pPr>
        <w:pStyle w:val="Bullet1"/>
      </w:pPr>
      <w:r>
        <w:t xml:space="preserve">a </w:t>
      </w:r>
      <w:hyperlink w:anchor="summary" w:history="1">
        <w:r w:rsidRPr="00CB1F16">
          <w:rPr>
            <w:rStyle w:val="HyperlinkSourceTextReference"/>
          </w:rPr>
          <w:t>summary</w:t>
        </w:r>
      </w:hyperlink>
      <w:r>
        <w:t xml:space="preserve"> of </w:t>
      </w:r>
      <w:r w:rsidR="008734DD">
        <w:t>its key points</w:t>
      </w:r>
      <w:r w:rsidR="000548F1">
        <w:t>;</w:t>
      </w:r>
      <w:r w:rsidR="008734DD">
        <w:t xml:space="preserve"> and </w:t>
      </w:r>
    </w:p>
    <w:p w:rsidR="002A7C14" w:rsidRDefault="008734DD" w:rsidP="000548F1">
      <w:pPr>
        <w:pStyle w:val="Bullet1"/>
      </w:pPr>
      <w:r>
        <w:t xml:space="preserve">a list of </w:t>
      </w:r>
      <w:hyperlink w:anchor="appendiz2" w:history="1">
        <w:r w:rsidRPr="008734DD">
          <w:rPr>
            <w:rStyle w:val="Hyperlink"/>
          </w:rPr>
          <w:t>relevant case notes and opinions</w:t>
        </w:r>
      </w:hyperlink>
      <w:r>
        <w:t>.</w:t>
      </w:r>
    </w:p>
    <w:p w:rsidR="00023FF5" w:rsidRDefault="009660E8" w:rsidP="00911F23">
      <w:pPr>
        <w:pStyle w:val="BodyText"/>
      </w:pPr>
      <w:r>
        <w:t xml:space="preserve">Related </w:t>
      </w:r>
      <w:r w:rsidR="005E1DD9">
        <w:t>guides include</w:t>
      </w:r>
      <w:r>
        <w:t>:</w:t>
      </w:r>
    </w:p>
    <w:p w:rsidR="00DA0D11" w:rsidRPr="00FC7154" w:rsidRDefault="003B7727" w:rsidP="00AC75C9">
      <w:pPr>
        <w:pStyle w:val="Bullet1"/>
        <w:rPr>
          <w:rStyle w:val="Hyperlink"/>
        </w:rPr>
      </w:pPr>
      <w:hyperlink r:id="rId34" w:history="1">
        <w:r w:rsidR="00DA0D11" w:rsidRPr="00FC7154">
          <w:rPr>
            <w:rStyle w:val="Hyperlink"/>
          </w:rPr>
          <w:t>P</w:t>
        </w:r>
        <w:r w:rsidR="00294709" w:rsidRPr="00FC7154">
          <w:rPr>
            <w:rStyle w:val="Hyperlink"/>
          </w:rPr>
          <w:t>ractice guidelines on p</w:t>
        </w:r>
        <w:r w:rsidR="00DA0D11" w:rsidRPr="00FC7154">
          <w:rPr>
            <w:rStyle w:val="Hyperlink"/>
          </w:rPr>
          <w:t>rivacy</w:t>
        </w:r>
      </w:hyperlink>
    </w:p>
    <w:p w:rsidR="0039155B" w:rsidRPr="00FC7154" w:rsidRDefault="003B7727" w:rsidP="00AC75C9">
      <w:pPr>
        <w:pStyle w:val="Bullet1"/>
      </w:pPr>
      <w:hyperlink r:id="rId35" w:history="1">
        <w:r w:rsidR="009660E8" w:rsidRPr="00FC7154">
          <w:rPr>
            <w:rStyle w:val="Hyperlink"/>
          </w:rPr>
          <w:t>Practice guidelines on c</w:t>
        </w:r>
        <w:r w:rsidR="0039155B" w:rsidRPr="00FC7154">
          <w:rPr>
            <w:rStyle w:val="Hyperlink"/>
          </w:rPr>
          <w:t>onfidentiality</w:t>
        </w:r>
      </w:hyperlink>
      <w:r w:rsidR="0039155B" w:rsidRPr="00FC7154">
        <w:t xml:space="preserve"> </w:t>
      </w:r>
    </w:p>
    <w:p w:rsidR="002022D3" w:rsidRPr="00FC7154" w:rsidRDefault="002022D3" w:rsidP="00AC75C9">
      <w:pPr>
        <w:pStyle w:val="Bullet1"/>
        <w:rPr>
          <w:rStyle w:val="Hyperlink"/>
        </w:rPr>
      </w:pPr>
      <w:r w:rsidRPr="00FC7154">
        <w:fldChar w:fldCharType="begin"/>
      </w:r>
      <w:r w:rsidR="006C5F22" w:rsidRPr="00FC7154">
        <w:instrText>HYPERLINK "https://www.ombudsman.parliament.nz/resources/free-and-frank-opinions-guide-section-92gi-oia-and-section-72fi-lgoima"</w:instrText>
      </w:r>
      <w:r w:rsidRPr="00FC7154">
        <w:fldChar w:fldCharType="separate"/>
      </w:r>
      <w:r w:rsidR="0039155B" w:rsidRPr="00FC7154">
        <w:rPr>
          <w:rStyle w:val="Hyperlink"/>
        </w:rPr>
        <w:t>Free and frank opinions</w:t>
      </w:r>
      <w:r w:rsidRPr="00FC7154">
        <w:rPr>
          <w:rStyle w:val="Hyperlink"/>
        </w:rPr>
        <w:t xml:space="preserve">—A guide to section 9(2)(g)(i) of the OIA </w:t>
      </w:r>
    </w:p>
    <w:p w:rsidR="0039155B" w:rsidRPr="00FC7154" w:rsidRDefault="002022D3" w:rsidP="00AC75C9">
      <w:pPr>
        <w:pStyle w:val="Bullet1"/>
        <w:rPr>
          <w:rStyle w:val="Hyperlink"/>
        </w:rPr>
      </w:pPr>
      <w:r w:rsidRPr="00FC7154">
        <w:fldChar w:fldCharType="end"/>
      </w:r>
      <w:hyperlink r:id="rId36" w:history="1">
        <w:r w:rsidR="009660E8" w:rsidRPr="00FC7154">
          <w:rPr>
            <w:rStyle w:val="Hyperlink"/>
          </w:rPr>
          <w:t>Practice guidelines on l</w:t>
        </w:r>
        <w:r w:rsidR="0039155B" w:rsidRPr="00FC7154">
          <w:rPr>
            <w:rStyle w:val="Hyperlink"/>
          </w:rPr>
          <w:t>egal professional privilege</w:t>
        </w:r>
      </w:hyperlink>
      <w:r w:rsidR="0039155B" w:rsidRPr="00FC7154">
        <w:rPr>
          <w:rStyle w:val="Hyperlink"/>
        </w:rPr>
        <w:t xml:space="preserve"> </w:t>
      </w:r>
    </w:p>
    <w:p w:rsidR="0039155B" w:rsidRPr="00FC7154" w:rsidRDefault="003B7727" w:rsidP="00AC75C9">
      <w:pPr>
        <w:pStyle w:val="Bullet1"/>
      </w:pPr>
      <w:hyperlink r:id="rId37" w:history="1">
        <w:r w:rsidR="0039155B" w:rsidRPr="00FC7154">
          <w:rPr>
            <w:rStyle w:val="Hyperlink"/>
          </w:rPr>
          <w:t>Publicly available informatio</w:t>
        </w:r>
        <w:r w:rsidR="002022D3" w:rsidRPr="00FC7154">
          <w:rPr>
            <w:rStyle w:val="Hyperlink"/>
          </w:rPr>
          <w:t xml:space="preserve">n—A guide to section 18(d) of the OIA </w:t>
        </w:r>
      </w:hyperlink>
      <w:r w:rsidR="0039155B" w:rsidRPr="00FC7154">
        <w:t xml:space="preserve"> </w:t>
      </w:r>
    </w:p>
    <w:p w:rsidR="0039155B" w:rsidRPr="00FC7154" w:rsidRDefault="003B7727" w:rsidP="00AC75C9">
      <w:pPr>
        <w:pStyle w:val="Bullet1"/>
        <w:rPr>
          <w:szCs w:val="24"/>
        </w:rPr>
      </w:pPr>
      <w:hyperlink r:id="rId38" w:history="1">
        <w:r w:rsidR="0039155B" w:rsidRPr="00FC7154">
          <w:rPr>
            <w:rStyle w:val="Hyperlink"/>
          </w:rPr>
          <w:t>Information not hel</w:t>
        </w:r>
        <w:r w:rsidR="002B0453" w:rsidRPr="00FC7154">
          <w:rPr>
            <w:rStyle w:val="Hyperlink"/>
          </w:rPr>
          <w:t xml:space="preserve">d—A guide to sections 18(e) and (g) of the OIA </w:t>
        </w:r>
      </w:hyperlink>
      <w:r w:rsidR="0039155B" w:rsidRPr="00FC7154">
        <w:rPr>
          <w:szCs w:val="24"/>
        </w:rPr>
        <w:t xml:space="preserve"> </w:t>
      </w:r>
    </w:p>
    <w:p w:rsidR="0039155B" w:rsidRPr="00FC7154" w:rsidRDefault="003B7727" w:rsidP="00AC75C9">
      <w:pPr>
        <w:pStyle w:val="Bullet1"/>
      </w:pPr>
      <w:hyperlink r:id="rId39" w:history="1">
        <w:r w:rsidR="0039155B" w:rsidRPr="00FC7154">
          <w:rPr>
            <w:rStyle w:val="Hyperlink"/>
            <w:szCs w:val="24"/>
          </w:rPr>
          <w:t>Public interes</w:t>
        </w:r>
        <w:r w:rsidR="009F0B7D" w:rsidRPr="00FC7154">
          <w:rPr>
            <w:rStyle w:val="Hyperlink"/>
            <w:szCs w:val="24"/>
          </w:rPr>
          <w:t>t—A guide to the public interest test in section 9(1) of the OIA</w:t>
        </w:r>
      </w:hyperlink>
    </w:p>
    <w:p w:rsidR="00814ABF" w:rsidRDefault="00A86D1C" w:rsidP="0001087C">
      <w:pPr>
        <w:pStyle w:val="BodyText"/>
      </w:pPr>
      <w:r>
        <w:t>Questions</w:t>
      </w:r>
      <w:r w:rsidRPr="005F30EE">
        <w:t xml:space="preserve"> about </w:t>
      </w:r>
      <w:r>
        <w:t>the interaction between the OIA and the Inquiries Act can be directed to</w:t>
      </w:r>
      <w:r w:rsidRPr="005F30EE">
        <w:t xml:space="preserve"> </w:t>
      </w:r>
      <w:hyperlink r:id="rId40" w:history="1">
        <w:r w:rsidRPr="00343FC1">
          <w:rPr>
            <w:rStyle w:val="Hyperlink"/>
          </w:rPr>
          <w:t>info@ombudsman.parliament.nz</w:t>
        </w:r>
      </w:hyperlink>
      <w:r w:rsidRPr="005F30EE">
        <w:t xml:space="preserve"> or freephone 0800 802 602. </w:t>
      </w:r>
    </w:p>
    <w:p w:rsidR="0039155B" w:rsidRDefault="00A86D1C" w:rsidP="0001087C">
      <w:pPr>
        <w:pStyle w:val="BodyText"/>
      </w:pPr>
      <w:r>
        <w:t>We can also provide advice and guidance to inquiries considering making non-publication orders under section 15(1)(a) of the Inquiries Act.</w:t>
      </w:r>
    </w:p>
    <w:p w:rsidR="005E1DD9" w:rsidRPr="001F305C" w:rsidRDefault="003B7727" w:rsidP="0001087C">
      <w:pPr>
        <w:pStyle w:val="BodyText"/>
      </w:pPr>
      <w:hyperlink r:id="rId41" w:history="1">
        <w:r w:rsidR="005E1DD9" w:rsidRPr="00965BC3">
          <w:rPr>
            <w:rStyle w:val="Hyperlink"/>
          </w:rPr>
          <w:t>More information about inquiries is also available on the DIA website</w:t>
        </w:r>
      </w:hyperlink>
      <w:r w:rsidR="005E1DD9">
        <w:t xml:space="preserve">, and in Chapter 4 of the </w:t>
      </w:r>
      <w:hyperlink r:id="rId42" w:history="1">
        <w:r w:rsidR="005E1DD9" w:rsidRPr="00D44698">
          <w:rPr>
            <w:rStyle w:val="Hyperlink"/>
            <w:i/>
          </w:rPr>
          <w:t xml:space="preserve">Cabinet </w:t>
        </w:r>
        <w:r w:rsidR="005E1DD9" w:rsidRPr="00340A56">
          <w:rPr>
            <w:rStyle w:val="Hyperlink"/>
            <w:i/>
          </w:rPr>
          <w:t>Manual</w:t>
        </w:r>
      </w:hyperlink>
      <w:r w:rsidR="00061113">
        <w:rPr>
          <w:rStyle w:val="Hyperlink"/>
          <w:i/>
        </w:rPr>
        <w:t>.</w:t>
      </w:r>
    </w:p>
    <w:p w:rsidR="005D6797" w:rsidRDefault="00760289" w:rsidP="0094555E">
      <w:pPr>
        <w:pStyle w:val="HeadingAppendix"/>
      </w:pPr>
      <w:bookmarkStart w:id="45" w:name="summary"/>
      <w:bookmarkStart w:id="46" w:name="_Toc48123851"/>
      <w:bookmarkEnd w:id="45"/>
      <w:r>
        <w:lastRenderedPageBreak/>
        <w:t>S</w:t>
      </w:r>
      <w:r w:rsidR="0094555E">
        <w:t>u</w:t>
      </w:r>
      <w:r w:rsidR="00B92D87">
        <w:t>mmary</w:t>
      </w:r>
      <w:r>
        <w:t>—the OIA and inquiries</w:t>
      </w:r>
      <w:bookmarkEnd w:id="46"/>
      <w:r>
        <w:t xml:space="preserve"> </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Caption w:val="Table for formatting purposes"/>
      </w:tblPr>
      <w:tblGrid>
        <w:gridCol w:w="1985"/>
        <w:gridCol w:w="7229"/>
      </w:tblGrid>
      <w:tr w:rsidR="0067488A" w:rsidTr="00351C6B">
        <w:trPr>
          <w:cnfStyle w:val="100000000000" w:firstRow="1" w:lastRow="0" w:firstColumn="0" w:lastColumn="0" w:oddVBand="0" w:evenVBand="0" w:oddHBand="0" w:evenHBand="0" w:firstRowFirstColumn="0" w:firstRowLastColumn="0" w:lastRowFirstColumn="0" w:lastRowLastColumn="0"/>
          <w:cantSplit/>
          <w:tblHeader w:val="0"/>
        </w:trPr>
        <w:tc>
          <w:tcPr>
            <w:tcW w:w="1985" w:type="dxa"/>
            <w:tcBorders>
              <w:top w:val="none" w:sz="0" w:space="0" w:color="auto"/>
              <w:left w:val="none" w:sz="0" w:space="0" w:color="auto"/>
              <w:bottom w:val="none" w:sz="0" w:space="0" w:color="auto"/>
              <w:right w:val="none" w:sz="0" w:space="0" w:color="auto"/>
            </w:tcBorders>
            <w:shd w:val="clear" w:color="auto" w:fill="auto"/>
          </w:tcPr>
          <w:p w:rsidR="0067488A" w:rsidRPr="006D2D06" w:rsidRDefault="0067488A" w:rsidP="00555FE1">
            <w:pPr>
              <w:pStyle w:val="Tableheadingrow1"/>
              <w:keepNext w:val="0"/>
              <w:widowControl w:val="0"/>
              <w:rPr>
                <w:b/>
                <w:color w:val="auto"/>
                <w:sz w:val="23"/>
                <w:szCs w:val="23"/>
              </w:rPr>
            </w:pPr>
            <w:r w:rsidRPr="006D2D06">
              <w:rPr>
                <w:b/>
                <w:color w:val="auto"/>
                <w:sz w:val="23"/>
                <w:szCs w:val="23"/>
              </w:rPr>
              <w:t>Inquiries Act 2013</w:t>
            </w:r>
          </w:p>
        </w:tc>
        <w:tc>
          <w:tcPr>
            <w:tcW w:w="7229" w:type="dxa"/>
            <w:tcBorders>
              <w:top w:val="none" w:sz="0" w:space="0" w:color="auto"/>
              <w:left w:val="none" w:sz="0" w:space="0" w:color="auto"/>
              <w:bottom w:val="none" w:sz="0" w:space="0" w:color="auto"/>
              <w:right w:val="none" w:sz="0" w:space="0" w:color="auto"/>
            </w:tcBorders>
            <w:shd w:val="clear" w:color="auto" w:fill="auto"/>
          </w:tcPr>
          <w:p w:rsidR="0067488A" w:rsidRPr="006D2D06" w:rsidRDefault="009256CB" w:rsidP="008522DE">
            <w:pPr>
              <w:pStyle w:val="BodyText"/>
              <w:widowControl w:val="0"/>
              <w:rPr>
                <w:sz w:val="23"/>
                <w:szCs w:val="23"/>
              </w:rPr>
            </w:pPr>
            <w:r w:rsidRPr="006D2D06">
              <w:rPr>
                <w:sz w:val="23"/>
                <w:szCs w:val="23"/>
              </w:rPr>
              <w:t>Provides for royal commissions, public inquiries and gove</w:t>
            </w:r>
            <w:r w:rsidR="008522DE">
              <w:rPr>
                <w:sz w:val="23"/>
                <w:szCs w:val="23"/>
              </w:rPr>
              <w:t xml:space="preserve">rnment inquiries to inquire </w:t>
            </w:r>
            <w:r w:rsidRPr="006D2D06">
              <w:rPr>
                <w:sz w:val="23"/>
                <w:szCs w:val="23"/>
              </w:rPr>
              <w:t xml:space="preserve">and report on matters of public importance. </w:t>
            </w:r>
          </w:p>
        </w:tc>
      </w:tr>
      <w:tr w:rsidR="00287BAA" w:rsidTr="00351C6B">
        <w:trPr>
          <w:cantSplit/>
        </w:trPr>
        <w:tc>
          <w:tcPr>
            <w:tcW w:w="1985" w:type="dxa"/>
            <w:shd w:val="clear" w:color="auto" w:fill="auto"/>
          </w:tcPr>
          <w:p w:rsidR="00287BAA" w:rsidRPr="006D2D06" w:rsidRDefault="00287BAA" w:rsidP="00555FE1">
            <w:pPr>
              <w:pStyle w:val="Tableheadingrow1"/>
              <w:keepNext w:val="0"/>
              <w:widowControl w:val="0"/>
              <w:rPr>
                <w:b/>
                <w:color w:val="auto"/>
                <w:sz w:val="23"/>
                <w:szCs w:val="23"/>
              </w:rPr>
            </w:pPr>
            <w:r w:rsidRPr="006D2D06">
              <w:rPr>
                <w:b/>
                <w:color w:val="auto"/>
                <w:sz w:val="23"/>
                <w:szCs w:val="23"/>
              </w:rPr>
              <w:t xml:space="preserve">Information held by inquiries </w:t>
            </w:r>
          </w:p>
        </w:tc>
        <w:tc>
          <w:tcPr>
            <w:tcW w:w="7229" w:type="dxa"/>
            <w:shd w:val="clear" w:color="auto" w:fill="auto"/>
          </w:tcPr>
          <w:p w:rsidR="0067488A" w:rsidRPr="006D2D06" w:rsidRDefault="0067488A" w:rsidP="00F3100A">
            <w:pPr>
              <w:pStyle w:val="BodyText"/>
              <w:widowControl w:val="0"/>
              <w:rPr>
                <w:sz w:val="23"/>
                <w:szCs w:val="23"/>
              </w:rPr>
            </w:pPr>
            <w:r w:rsidRPr="006D2D06">
              <w:rPr>
                <w:sz w:val="23"/>
                <w:szCs w:val="23"/>
              </w:rPr>
              <w:t xml:space="preserve">Inquiries Act </w:t>
            </w:r>
            <w:r w:rsidR="002801D6" w:rsidRPr="006D2D06">
              <w:rPr>
                <w:sz w:val="23"/>
                <w:szCs w:val="23"/>
              </w:rPr>
              <w:t xml:space="preserve">inquiries </w:t>
            </w:r>
            <w:r w:rsidRPr="006D2D06">
              <w:rPr>
                <w:sz w:val="23"/>
                <w:szCs w:val="23"/>
              </w:rPr>
              <w:t>are not subject to the OIA</w:t>
            </w:r>
            <w:r w:rsidR="00220131" w:rsidRPr="006D2D06">
              <w:rPr>
                <w:sz w:val="23"/>
                <w:szCs w:val="23"/>
              </w:rPr>
              <w:t xml:space="preserve"> (section 2(6)(ea) OIA)</w:t>
            </w:r>
            <w:r w:rsidRPr="006D2D06">
              <w:rPr>
                <w:sz w:val="23"/>
                <w:szCs w:val="23"/>
              </w:rPr>
              <w:t>.</w:t>
            </w:r>
            <w:r w:rsidR="00220131" w:rsidRPr="006D2D06">
              <w:rPr>
                <w:sz w:val="23"/>
                <w:szCs w:val="23"/>
              </w:rPr>
              <w:t xml:space="preserve"> </w:t>
            </w:r>
            <w:r w:rsidR="002801D6" w:rsidRPr="006D2D06">
              <w:rPr>
                <w:sz w:val="23"/>
                <w:szCs w:val="23"/>
              </w:rPr>
              <w:t xml:space="preserve">However, the information they hold becomes </w:t>
            </w:r>
            <w:r w:rsidR="002801D6" w:rsidRPr="006D2D06">
              <w:rPr>
                <w:i/>
                <w:sz w:val="23"/>
                <w:szCs w:val="23"/>
              </w:rPr>
              <w:t>‘official information’</w:t>
            </w:r>
            <w:r w:rsidR="002801D6" w:rsidRPr="006D2D06">
              <w:rPr>
                <w:sz w:val="23"/>
                <w:szCs w:val="23"/>
              </w:rPr>
              <w:t xml:space="preserve"> once they have reported (section 32 Inquiries Act). </w:t>
            </w:r>
            <w:r w:rsidR="006F3B35">
              <w:rPr>
                <w:sz w:val="23"/>
                <w:szCs w:val="23"/>
              </w:rPr>
              <w:t xml:space="preserve">After that time, </w:t>
            </w:r>
            <w:r w:rsidR="00E166CA" w:rsidRPr="006D2D06">
              <w:rPr>
                <w:sz w:val="23"/>
                <w:szCs w:val="23"/>
              </w:rPr>
              <w:t xml:space="preserve">OIA requests can be made to the government agency </w:t>
            </w:r>
            <w:r w:rsidR="004E03A2">
              <w:t xml:space="preserve">administering </w:t>
            </w:r>
            <w:r w:rsidR="00E166CA" w:rsidRPr="006D2D06">
              <w:rPr>
                <w:sz w:val="23"/>
                <w:szCs w:val="23"/>
              </w:rPr>
              <w:t>the inquiry—usually the Department of Internal Affairs. If the records have already been transferred to Archives New Zealand</w:t>
            </w:r>
            <w:r w:rsidR="00CC3807">
              <w:rPr>
                <w:sz w:val="23"/>
                <w:szCs w:val="23"/>
              </w:rPr>
              <w:t xml:space="preserve"> (Archives)</w:t>
            </w:r>
            <w:r w:rsidR="00E166CA" w:rsidRPr="006D2D06">
              <w:rPr>
                <w:sz w:val="23"/>
                <w:szCs w:val="23"/>
              </w:rPr>
              <w:t xml:space="preserve">, they may be able to be accessed from Archives without recourse to the OIA (see </w:t>
            </w:r>
            <w:hyperlink r:id="rId43" w:history="1">
              <w:r w:rsidR="00E166CA" w:rsidRPr="006D2D06">
                <w:rPr>
                  <w:rStyle w:val="Hyperlink"/>
                  <w:sz w:val="23"/>
                  <w:szCs w:val="23"/>
                </w:rPr>
                <w:t>www.archives.govt.nz</w:t>
              </w:r>
            </w:hyperlink>
            <w:r w:rsidR="00E166CA" w:rsidRPr="006D2D06">
              <w:rPr>
                <w:sz w:val="23"/>
                <w:szCs w:val="23"/>
              </w:rPr>
              <w:t xml:space="preserve">). </w:t>
            </w:r>
          </w:p>
        </w:tc>
      </w:tr>
      <w:tr w:rsidR="00BA5B0B" w:rsidTr="00351C6B">
        <w:trPr>
          <w:cantSplit/>
        </w:trPr>
        <w:tc>
          <w:tcPr>
            <w:tcW w:w="1985" w:type="dxa"/>
            <w:shd w:val="clear" w:color="auto" w:fill="auto"/>
          </w:tcPr>
          <w:p w:rsidR="00BA5B0B" w:rsidRPr="006D2D06" w:rsidRDefault="00BA5B0B" w:rsidP="00555FE1">
            <w:pPr>
              <w:pStyle w:val="Tableheadingrow1"/>
              <w:keepNext w:val="0"/>
              <w:widowControl w:val="0"/>
              <w:rPr>
                <w:b/>
                <w:color w:val="auto"/>
                <w:sz w:val="23"/>
                <w:szCs w:val="23"/>
              </w:rPr>
            </w:pPr>
            <w:r w:rsidRPr="006D2D06">
              <w:rPr>
                <w:b/>
                <w:color w:val="auto"/>
                <w:sz w:val="23"/>
                <w:szCs w:val="23"/>
              </w:rPr>
              <w:t>Information held by other agencies</w:t>
            </w:r>
          </w:p>
        </w:tc>
        <w:tc>
          <w:tcPr>
            <w:tcW w:w="7229" w:type="dxa"/>
            <w:shd w:val="clear" w:color="auto" w:fill="auto"/>
          </w:tcPr>
          <w:p w:rsidR="00BA5B0B" w:rsidRPr="00567299" w:rsidRDefault="00AE4034" w:rsidP="00630473">
            <w:pPr>
              <w:pStyle w:val="BodyText"/>
              <w:widowControl w:val="0"/>
              <w:rPr>
                <w:sz w:val="23"/>
                <w:szCs w:val="23"/>
              </w:rPr>
            </w:pPr>
            <w:r>
              <w:rPr>
                <w:sz w:val="23"/>
                <w:szCs w:val="23"/>
              </w:rPr>
              <w:t>With very few exceptions, g</w:t>
            </w:r>
            <w:r w:rsidR="00E166CA" w:rsidRPr="006D2D06">
              <w:rPr>
                <w:sz w:val="23"/>
                <w:szCs w:val="23"/>
              </w:rPr>
              <w:t xml:space="preserve">overnment agencies that interact with inquiries are subject to the OIA. </w:t>
            </w:r>
            <w:r w:rsidR="00F47205" w:rsidRPr="006D2D06">
              <w:rPr>
                <w:sz w:val="23"/>
                <w:szCs w:val="23"/>
              </w:rPr>
              <w:t xml:space="preserve">The OIA will apply to any information that they hold about an inquiry, or the matters under inquiry, unless that information is excluded from the definition of </w:t>
            </w:r>
            <w:r w:rsidR="00F47205" w:rsidRPr="006D2D06">
              <w:rPr>
                <w:i/>
                <w:sz w:val="23"/>
                <w:szCs w:val="23"/>
              </w:rPr>
              <w:t xml:space="preserve">‘official information’. </w:t>
            </w:r>
            <w:r w:rsidR="00567299">
              <w:rPr>
                <w:sz w:val="23"/>
                <w:szCs w:val="23"/>
              </w:rPr>
              <w:t xml:space="preserve">Nothing in the Inquiries Act </w:t>
            </w:r>
            <w:r w:rsidR="00630473">
              <w:rPr>
                <w:sz w:val="23"/>
                <w:szCs w:val="23"/>
              </w:rPr>
              <w:t>affects</w:t>
            </w:r>
            <w:r w:rsidR="00567299">
              <w:rPr>
                <w:sz w:val="23"/>
                <w:szCs w:val="23"/>
              </w:rPr>
              <w:t xml:space="preserve"> this position.</w:t>
            </w:r>
          </w:p>
        </w:tc>
      </w:tr>
      <w:tr w:rsidR="00BA5B0B" w:rsidTr="00351C6B">
        <w:trPr>
          <w:cantSplit/>
        </w:trPr>
        <w:tc>
          <w:tcPr>
            <w:tcW w:w="1985" w:type="dxa"/>
            <w:shd w:val="clear" w:color="auto" w:fill="auto"/>
          </w:tcPr>
          <w:p w:rsidR="00BA5B0B" w:rsidRPr="006D2D06" w:rsidRDefault="00BA5B0B" w:rsidP="00555FE1">
            <w:pPr>
              <w:pStyle w:val="Tableheadingrow1"/>
              <w:keepNext w:val="0"/>
              <w:widowControl w:val="0"/>
              <w:rPr>
                <w:b/>
                <w:color w:val="auto"/>
                <w:sz w:val="23"/>
                <w:szCs w:val="23"/>
              </w:rPr>
            </w:pPr>
            <w:r w:rsidRPr="006D2D06">
              <w:rPr>
                <w:b/>
                <w:color w:val="auto"/>
                <w:sz w:val="23"/>
                <w:szCs w:val="23"/>
              </w:rPr>
              <w:t>Is it ‘official information’?</w:t>
            </w:r>
          </w:p>
        </w:tc>
        <w:tc>
          <w:tcPr>
            <w:tcW w:w="7229" w:type="dxa"/>
            <w:shd w:val="clear" w:color="auto" w:fill="auto"/>
          </w:tcPr>
          <w:p w:rsidR="00AE2E0F" w:rsidRPr="006D2D06" w:rsidRDefault="00AE2E0F" w:rsidP="00555FE1">
            <w:pPr>
              <w:pStyle w:val="BodyText"/>
              <w:widowControl w:val="0"/>
              <w:rPr>
                <w:sz w:val="23"/>
                <w:szCs w:val="23"/>
              </w:rPr>
            </w:pPr>
            <w:r w:rsidRPr="006D2D06">
              <w:rPr>
                <w:sz w:val="23"/>
                <w:szCs w:val="23"/>
              </w:rPr>
              <w:t xml:space="preserve">The OIA excludes certain types of information from the definition of </w:t>
            </w:r>
            <w:r w:rsidRPr="006D2D06">
              <w:rPr>
                <w:i/>
                <w:sz w:val="23"/>
                <w:szCs w:val="23"/>
              </w:rPr>
              <w:t>‘official information’</w:t>
            </w:r>
            <w:r w:rsidR="005B5BE5" w:rsidRPr="006D2D06">
              <w:rPr>
                <w:i/>
                <w:sz w:val="23"/>
                <w:szCs w:val="23"/>
              </w:rPr>
              <w:t xml:space="preserve"> </w:t>
            </w:r>
            <w:r w:rsidR="005B5BE5" w:rsidRPr="006D2D06">
              <w:rPr>
                <w:sz w:val="23"/>
                <w:szCs w:val="23"/>
              </w:rPr>
              <w:t>(section 2</w:t>
            </w:r>
            <w:r w:rsidR="006F3B35">
              <w:rPr>
                <w:sz w:val="23"/>
                <w:szCs w:val="23"/>
              </w:rPr>
              <w:t>(1)</w:t>
            </w:r>
            <w:r w:rsidR="005B5BE5" w:rsidRPr="006D2D06">
              <w:rPr>
                <w:sz w:val="23"/>
                <w:szCs w:val="23"/>
              </w:rPr>
              <w:t>)</w:t>
            </w:r>
            <w:r w:rsidRPr="006D2D06">
              <w:rPr>
                <w:i/>
                <w:sz w:val="23"/>
                <w:szCs w:val="23"/>
              </w:rPr>
              <w:t xml:space="preserve">. </w:t>
            </w:r>
            <w:r w:rsidR="005B5BE5" w:rsidRPr="005E1DD9">
              <w:rPr>
                <w:b/>
                <w:sz w:val="23"/>
                <w:szCs w:val="23"/>
              </w:rPr>
              <w:t>Paragraph (h</w:t>
            </w:r>
            <w:r w:rsidR="0042171A" w:rsidRPr="005E1DD9">
              <w:rPr>
                <w:b/>
                <w:sz w:val="23"/>
                <w:szCs w:val="23"/>
              </w:rPr>
              <w:t>a</w:t>
            </w:r>
            <w:r w:rsidR="005B5BE5" w:rsidRPr="005E1DD9">
              <w:rPr>
                <w:b/>
                <w:sz w:val="23"/>
                <w:szCs w:val="23"/>
              </w:rPr>
              <w:t>)</w:t>
            </w:r>
            <w:r w:rsidR="005B5BE5" w:rsidRPr="006D2D06">
              <w:rPr>
                <w:sz w:val="23"/>
                <w:szCs w:val="23"/>
              </w:rPr>
              <w:t xml:space="preserve"> of the definition of </w:t>
            </w:r>
            <w:r w:rsidR="005B5BE5" w:rsidRPr="006D2D06">
              <w:rPr>
                <w:i/>
                <w:sz w:val="23"/>
                <w:szCs w:val="23"/>
              </w:rPr>
              <w:t xml:space="preserve">‘official information’ </w:t>
            </w:r>
            <w:r w:rsidR="005B5BE5" w:rsidRPr="006D2D06">
              <w:rPr>
                <w:sz w:val="23"/>
                <w:szCs w:val="23"/>
              </w:rPr>
              <w:t>excludes:</w:t>
            </w:r>
          </w:p>
          <w:p w:rsidR="005B5BE5" w:rsidRPr="006D2D06" w:rsidRDefault="005B5BE5" w:rsidP="00555FE1">
            <w:pPr>
              <w:pStyle w:val="Boxsmallbullet1"/>
              <w:widowControl w:val="0"/>
              <w:rPr>
                <w:sz w:val="23"/>
                <w:szCs w:val="23"/>
              </w:rPr>
            </w:pPr>
            <w:r w:rsidRPr="006D2D06">
              <w:rPr>
                <w:sz w:val="23"/>
                <w:szCs w:val="23"/>
              </w:rPr>
              <w:t>any matter subject to a non-publication order under section 15(1)﻿(a) of the Inquiries Act; and</w:t>
            </w:r>
          </w:p>
          <w:p w:rsidR="005B5BE5" w:rsidRPr="006D2D06" w:rsidRDefault="005B5BE5" w:rsidP="00555FE1">
            <w:pPr>
              <w:pStyle w:val="Boxsmallbullet1"/>
              <w:widowControl w:val="0"/>
              <w:rPr>
                <w:sz w:val="23"/>
                <w:szCs w:val="23"/>
              </w:rPr>
            </w:pPr>
            <w:r w:rsidRPr="006D2D06">
              <w:rPr>
                <w:sz w:val="23"/>
                <w:szCs w:val="23"/>
              </w:rPr>
              <w:t>documents relating to the internal deliberations of the inquiry.</w:t>
            </w:r>
          </w:p>
          <w:p w:rsidR="005B5BE5" w:rsidRPr="006D2D06" w:rsidRDefault="00EA05BA" w:rsidP="00555FE1">
            <w:pPr>
              <w:pStyle w:val="BodyText"/>
              <w:widowControl w:val="0"/>
              <w:rPr>
                <w:sz w:val="23"/>
                <w:szCs w:val="23"/>
              </w:rPr>
            </w:pPr>
            <w:r w:rsidRPr="00211E3E">
              <w:rPr>
                <w:b/>
                <w:sz w:val="23"/>
                <w:szCs w:val="23"/>
              </w:rPr>
              <w:t>Paragraph (h</w:t>
            </w:r>
            <w:r w:rsidR="005B5BE5" w:rsidRPr="00211E3E">
              <w:rPr>
                <w:b/>
                <w:sz w:val="23"/>
                <w:szCs w:val="23"/>
              </w:rPr>
              <w:t>)</w:t>
            </w:r>
            <w:r w:rsidR="005B5BE5" w:rsidRPr="006D2D06">
              <w:rPr>
                <w:sz w:val="23"/>
                <w:szCs w:val="23"/>
              </w:rPr>
              <w:t xml:space="preserve"> excludes</w:t>
            </w:r>
            <w:r w:rsidR="00C260E3" w:rsidRPr="006D2D06">
              <w:rPr>
                <w:sz w:val="23"/>
                <w:szCs w:val="23"/>
              </w:rPr>
              <w:t xml:space="preserve"> evidence given and submissions made to </w:t>
            </w:r>
            <w:r w:rsidR="0059103D" w:rsidRPr="00630473">
              <w:rPr>
                <w:b/>
                <w:sz w:val="23"/>
                <w:szCs w:val="23"/>
              </w:rPr>
              <w:t>historic</w:t>
            </w:r>
            <w:r w:rsidR="0059103D" w:rsidRPr="006D2D06">
              <w:rPr>
                <w:sz w:val="23"/>
                <w:szCs w:val="23"/>
              </w:rPr>
              <w:t xml:space="preserve"> </w:t>
            </w:r>
            <w:r w:rsidR="00C260E3" w:rsidRPr="006D2D06">
              <w:rPr>
                <w:sz w:val="23"/>
                <w:szCs w:val="23"/>
              </w:rPr>
              <w:t>royal commissions</w:t>
            </w:r>
            <w:r w:rsidR="0059103D" w:rsidRPr="006D2D06">
              <w:rPr>
                <w:sz w:val="23"/>
                <w:szCs w:val="23"/>
              </w:rPr>
              <w:t xml:space="preserve"> and commissions of inquiry</w:t>
            </w:r>
            <w:r w:rsidR="00C260E3" w:rsidRPr="006D2D06">
              <w:rPr>
                <w:sz w:val="23"/>
                <w:szCs w:val="23"/>
              </w:rPr>
              <w:t>.</w:t>
            </w:r>
            <w:r w:rsidR="005E1DD9">
              <w:rPr>
                <w:sz w:val="23"/>
                <w:szCs w:val="23"/>
              </w:rPr>
              <w:t xml:space="preserve"> </w:t>
            </w:r>
            <w:r w:rsidR="0059103D" w:rsidRPr="006D2D06">
              <w:rPr>
                <w:sz w:val="23"/>
                <w:szCs w:val="23"/>
              </w:rPr>
              <w:t xml:space="preserve">It </w:t>
            </w:r>
            <w:r w:rsidR="0059103D" w:rsidRPr="00630473">
              <w:rPr>
                <w:b/>
                <w:sz w:val="23"/>
                <w:szCs w:val="23"/>
              </w:rPr>
              <w:t>does not exclude</w:t>
            </w:r>
            <w:r w:rsidR="0059103D" w:rsidRPr="006D2D06">
              <w:rPr>
                <w:sz w:val="23"/>
                <w:szCs w:val="23"/>
              </w:rPr>
              <w:t xml:space="preserve"> evidence given and submissions made to </w:t>
            </w:r>
            <w:r w:rsidR="00645321">
              <w:rPr>
                <w:sz w:val="23"/>
                <w:szCs w:val="23"/>
              </w:rPr>
              <w:t>inquiries (including royal c</w:t>
            </w:r>
            <w:r w:rsidR="006503CF">
              <w:rPr>
                <w:sz w:val="23"/>
                <w:szCs w:val="23"/>
              </w:rPr>
              <w:t xml:space="preserve">ommissions) conducted under the </w:t>
            </w:r>
            <w:r w:rsidR="0059103D" w:rsidRPr="00630473">
              <w:rPr>
                <w:b/>
                <w:sz w:val="23"/>
                <w:szCs w:val="23"/>
              </w:rPr>
              <w:t>Inquiries Act</w:t>
            </w:r>
            <w:r w:rsidR="0042171A" w:rsidRPr="006D2D06">
              <w:rPr>
                <w:sz w:val="23"/>
                <w:szCs w:val="23"/>
              </w:rPr>
              <w:t>.</w:t>
            </w:r>
          </w:p>
          <w:p w:rsidR="005B5BE5" w:rsidRPr="006D2D06" w:rsidRDefault="00F25D8F" w:rsidP="00555FE1">
            <w:pPr>
              <w:pStyle w:val="BodyText"/>
              <w:widowControl w:val="0"/>
              <w:rPr>
                <w:sz w:val="23"/>
                <w:szCs w:val="23"/>
              </w:rPr>
            </w:pPr>
            <w:r w:rsidRPr="006D2D06">
              <w:rPr>
                <w:sz w:val="23"/>
                <w:szCs w:val="23"/>
              </w:rPr>
              <w:t xml:space="preserve">Requests for information that is excluded from the definition of </w:t>
            </w:r>
            <w:r w:rsidRPr="006D2D06">
              <w:rPr>
                <w:i/>
                <w:sz w:val="23"/>
                <w:szCs w:val="23"/>
              </w:rPr>
              <w:t xml:space="preserve">‘official information’ </w:t>
            </w:r>
            <w:r w:rsidRPr="006D2D06">
              <w:rPr>
                <w:sz w:val="23"/>
                <w:szCs w:val="23"/>
              </w:rPr>
              <w:t xml:space="preserve">can be refused under section 18(g) of the OIA (information not held). See our </w:t>
            </w:r>
            <w:hyperlink r:id="rId44" w:history="1">
              <w:r w:rsidRPr="006D2D06">
                <w:rPr>
                  <w:rStyle w:val="Hyperlink"/>
                  <w:sz w:val="23"/>
                  <w:szCs w:val="23"/>
                </w:rPr>
                <w:t>section 18(g)</w:t>
              </w:r>
            </w:hyperlink>
            <w:r w:rsidRPr="006D2D06">
              <w:rPr>
                <w:sz w:val="23"/>
                <w:szCs w:val="23"/>
              </w:rPr>
              <w:t xml:space="preserve"> guide for more information and template letters.</w:t>
            </w:r>
          </w:p>
        </w:tc>
      </w:tr>
      <w:tr w:rsidR="00BA5B0B" w:rsidTr="00351C6B">
        <w:tc>
          <w:tcPr>
            <w:tcW w:w="1985" w:type="dxa"/>
            <w:shd w:val="clear" w:color="auto" w:fill="auto"/>
          </w:tcPr>
          <w:p w:rsidR="00BA5B0B" w:rsidRPr="006D2D06" w:rsidRDefault="00BA5B0B" w:rsidP="00555FE1">
            <w:pPr>
              <w:pStyle w:val="Tableheadingrow1"/>
              <w:keepNext w:val="0"/>
              <w:widowControl w:val="0"/>
              <w:rPr>
                <w:b/>
                <w:color w:val="auto"/>
                <w:sz w:val="23"/>
                <w:szCs w:val="23"/>
              </w:rPr>
            </w:pPr>
            <w:r w:rsidRPr="006D2D06">
              <w:rPr>
                <w:b/>
                <w:color w:val="auto"/>
                <w:sz w:val="23"/>
                <w:szCs w:val="23"/>
              </w:rPr>
              <w:t>Is there a reason for withholding?</w:t>
            </w:r>
          </w:p>
        </w:tc>
        <w:tc>
          <w:tcPr>
            <w:tcW w:w="7229" w:type="dxa"/>
            <w:shd w:val="clear" w:color="auto" w:fill="auto"/>
          </w:tcPr>
          <w:p w:rsidR="000717C2" w:rsidRPr="006D2D06" w:rsidRDefault="00655950" w:rsidP="00555FE1">
            <w:pPr>
              <w:pStyle w:val="BodyText"/>
              <w:widowControl w:val="0"/>
              <w:rPr>
                <w:sz w:val="23"/>
                <w:szCs w:val="23"/>
              </w:rPr>
            </w:pPr>
            <w:r w:rsidRPr="006D2D06">
              <w:rPr>
                <w:sz w:val="23"/>
                <w:szCs w:val="23"/>
              </w:rPr>
              <w:t>There may be reasons for withholding</w:t>
            </w:r>
            <w:r w:rsidR="00630473">
              <w:rPr>
                <w:sz w:val="23"/>
                <w:szCs w:val="23"/>
              </w:rPr>
              <w:t xml:space="preserve"> official</w:t>
            </w:r>
            <w:r w:rsidRPr="006D2D06">
              <w:rPr>
                <w:sz w:val="23"/>
                <w:szCs w:val="23"/>
              </w:rPr>
              <w:t xml:space="preserve"> information about an inquiry, or the matters under inquiry, under the OIA. </w:t>
            </w:r>
          </w:p>
          <w:p w:rsidR="00EE2D60" w:rsidRPr="006D2D06" w:rsidRDefault="00EE2D60" w:rsidP="00EE2D60">
            <w:pPr>
              <w:pStyle w:val="BodyText"/>
              <w:rPr>
                <w:sz w:val="23"/>
                <w:szCs w:val="23"/>
              </w:rPr>
            </w:pPr>
            <w:r w:rsidRPr="006D2D06">
              <w:rPr>
                <w:sz w:val="23"/>
                <w:szCs w:val="23"/>
              </w:rPr>
              <w:t xml:space="preserve">The sensitivity of the information is likely to be highest while an inquiry is underway. However, there is </w:t>
            </w:r>
            <w:r w:rsidR="00630473">
              <w:rPr>
                <w:b/>
                <w:sz w:val="23"/>
                <w:szCs w:val="23"/>
              </w:rPr>
              <w:t>no cloak of secrecy</w:t>
            </w:r>
            <w:r w:rsidRPr="006D2D06">
              <w:rPr>
                <w:sz w:val="23"/>
                <w:szCs w:val="23"/>
              </w:rPr>
              <w:t xml:space="preserve"> just because an inquiry is underway. Each request must be considered on its merits, and each piece of information must be assessed against the criteria in the OIA for withholding before that request can be refused (</w:t>
            </w:r>
            <w:r w:rsidRPr="006D2D06">
              <w:rPr>
                <w:rStyle w:val="Italics"/>
                <w:sz w:val="23"/>
                <w:szCs w:val="23"/>
              </w:rPr>
              <w:t>Kelsey v the Minister of Trade</w:t>
            </w:r>
            <w:r w:rsidRPr="006D2D06">
              <w:rPr>
                <w:sz w:val="23"/>
                <w:szCs w:val="23"/>
              </w:rPr>
              <w:t xml:space="preserve"> [2015] NZHC 2497). </w:t>
            </w:r>
          </w:p>
          <w:p w:rsidR="00655950" w:rsidRPr="006D2D06" w:rsidRDefault="00EE2D60" w:rsidP="00A00858">
            <w:pPr>
              <w:pStyle w:val="BodyText"/>
              <w:rPr>
                <w:sz w:val="23"/>
                <w:szCs w:val="23"/>
              </w:rPr>
            </w:pPr>
            <w:r w:rsidRPr="006D2D06">
              <w:rPr>
                <w:sz w:val="23"/>
                <w:szCs w:val="23"/>
              </w:rPr>
              <w:lastRenderedPageBreak/>
              <w:t xml:space="preserve">It may be appropriate to consult the members of the inquiry about the likely impact of disclosure of the information at issue on the inquiry. See </w:t>
            </w:r>
            <w:hyperlink r:id="rId45" w:history="1">
              <w:r w:rsidRPr="006D2D06">
                <w:rPr>
                  <w:rStyle w:val="Hyperlink"/>
                  <w:i/>
                  <w:sz w:val="23"/>
                  <w:szCs w:val="23"/>
                </w:rPr>
                <w:t>Consulting third parties</w:t>
              </w:r>
            </w:hyperlink>
            <w:r w:rsidRPr="006D2D06">
              <w:rPr>
                <w:i/>
                <w:sz w:val="23"/>
                <w:szCs w:val="23"/>
              </w:rPr>
              <w:t xml:space="preserve"> </w:t>
            </w:r>
            <w:r w:rsidRPr="006D2D06">
              <w:rPr>
                <w:sz w:val="23"/>
                <w:szCs w:val="23"/>
              </w:rPr>
              <w:t>for guidance on how to do this.</w:t>
            </w:r>
          </w:p>
        </w:tc>
      </w:tr>
      <w:tr w:rsidR="00EE2D60" w:rsidTr="00351C6B">
        <w:trPr>
          <w:cantSplit/>
        </w:trPr>
        <w:tc>
          <w:tcPr>
            <w:tcW w:w="1985" w:type="dxa"/>
            <w:shd w:val="clear" w:color="auto" w:fill="auto"/>
          </w:tcPr>
          <w:p w:rsidR="00EE2D60" w:rsidRPr="006D2D06" w:rsidRDefault="00EE2D60" w:rsidP="00555FE1">
            <w:pPr>
              <w:pStyle w:val="Tableheadingrow1"/>
              <w:keepNext w:val="0"/>
              <w:widowControl w:val="0"/>
              <w:rPr>
                <w:b/>
                <w:color w:val="auto"/>
                <w:sz w:val="23"/>
                <w:szCs w:val="23"/>
              </w:rPr>
            </w:pPr>
            <w:r w:rsidRPr="006D2D06">
              <w:rPr>
                <w:b/>
                <w:color w:val="auto"/>
                <w:sz w:val="23"/>
                <w:szCs w:val="23"/>
              </w:rPr>
              <w:lastRenderedPageBreak/>
              <w:t>Maintenance of the law</w:t>
            </w:r>
          </w:p>
        </w:tc>
        <w:tc>
          <w:tcPr>
            <w:tcW w:w="7229" w:type="dxa"/>
            <w:shd w:val="clear" w:color="auto" w:fill="auto"/>
          </w:tcPr>
          <w:p w:rsidR="00EE2D60" w:rsidRPr="006D2D06" w:rsidRDefault="00953629" w:rsidP="00EE2D60">
            <w:pPr>
              <w:pStyle w:val="BodyText"/>
              <w:widowControl w:val="0"/>
              <w:rPr>
                <w:sz w:val="23"/>
                <w:szCs w:val="23"/>
              </w:rPr>
            </w:pPr>
            <w:r w:rsidRPr="00953629">
              <w:rPr>
                <w:sz w:val="23"/>
                <w:szCs w:val="23"/>
              </w:rPr>
              <w:t xml:space="preserve">Section 6(c) of the OIA </w:t>
            </w:r>
            <w:r w:rsidR="00EE2D60" w:rsidRPr="006D2D06">
              <w:rPr>
                <w:sz w:val="23"/>
                <w:szCs w:val="23"/>
              </w:rPr>
              <w:t>can</w:t>
            </w:r>
            <w:r w:rsidR="00E82B40">
              <w:rPr>
                <w:sz w:val="23"/>
                <w:szCs w:val="23"/>
              </w:rPr>
              <w:t>, depending on the nature of the inquiry,</w:t>
            </w:r>
            <w:r w:rsidR="00EE2D60" w:rsidRPr="006D2D06">
              <w:rPr>
                <w:sz w:val="23"/>
                <w:szCs w:val="23"/>
              </w:rPr>
              <w:t xml:space="preserve"> apply where release would be likely to prejudice the conduct of the inquiry or its ability to make findings. There must be a </w:t>
            </w:r>
            <w:r w:rsidR="00EE2D60" w:rsidRPr="006D2D06">
              <w:rPr>
                <w:b/>
                <w:sz w:val="23"/>
                <w:szCs w:val="23"/>
              </w:rPr>
              <w:t>direct connection</w:t>
            </w:r>
            <w:r w:rsidR="00EE2D60" w:rsidRPr="006D2D06">
              <w:rPr>
                <w:sz w:val="23"/>
                <w:szCs w:val="23"/>
              </w:rPr>
              <w:t xml:space="preserve"> between the information at issue and the matters under inquiry. It must be clear </w:t>
            </w:r>
            <w:r w:rsidR="00EE2D60" w:rsidRPr="006D2D06">
              <w:rPr>
                <w:b/>
                <w:sz w:val="23"/>
                <w:szCs w:val="23"/>
              </w:rPr>
              <w:t>how</w:t>
            </w:r>
            <w:r w:rsidR="00EE2D60" w:rsidRPr="006D2D06">
              <w:rPr>
                <w:sz w:val="23"/>
                <w:szCs w:val="23"/>
              </w:rPr>
              <w:t xml:space="preserve"> release of that information would prejudice the conduct of the inquiry, or its ability to make findings. This prejudice must be </w:t>
            </w:r>
            <w:r w:rsidR="00EE2D60" w:rsidRPr="006D2D06">
              <w:rPr>
                <w:b/>
                <w:sz w:val="23"/>
                <w:szCs w:val="23"/>
              </w:rPr>
              <w:t>‘likely’</w:t>
            </w:r>
            <w:r w:rsidR="00EE2D60" w:rsidRPr="006D2D06">
              <w:rPr>
                <w:sz w:val="23"/>
                <w:szCs w:val="23"/>
              </w:rPr>
              <w:t xml:space="preserve"> to occur—meaning there is a serious or real and substantial risk</w:t>
            </w:r>
            <w:r w:rsidR="00630E59" w:rsidRPr="006D2D06">
              <w:rPr>
                <w:sz w:val="23"/>
                <w:szCs w:val="23"/>
              </w:rPr>
              <w:t>.</w:t>
            </w:r>
          </w:p>
          <w:p w:rsidR="00EE2D60" w:rsidRPr="006D2D06" w:rsidRDefault="00EE2D60" w:rsidP="0056584E">
            <w:pPr>
              <w:pStyle w:val="BodyText"/>
              <w:widowControl w:val="0"/>
              <w:rPr>
                <w:sz w:val="23"/>
                <w:szCs w:val="23"/>
              </w:rPr>
            </w:pPr>
            <w:r w:rsidRPr="006D2D06">
              <w:rPr>
                <w:sz w:val="23"/>
                <w:szCs w:val="23"/>
              </w:rPr>
              <w:t xml:space="preserve">Factors </w:t>
            </w:r>
            <w:r w:rsidR="0042145D" w:rsidRPr="006D2D06">
              <w:rPr>
                <w:sz w:val="23"/>
                <w:szCs w:val="23"/>
              </w:rPr>
              <w:t>to consider include</w:t>
            </w:r>
            <w:r w:rsidR="0056584E" w:rsidRPr="006D2D06">
              <w:rPr>
                <w:sz w:val="23"/>
                <w:szCs w:val="23"/>
              </w:rPr>
              <w:t>: the views of the inquiry; the impact on the agency’s ability to participate in the inquiry; the terms of reference for the inquiry (</w:t>
            </w:r>
            <w:r w:rsidR="00DB293F">
              <w:rPr>
                <w:sz w:val="23"/>
                <w:szCs w:val="23"/>
              </w:rPr>
              <w:t>whether focused on policy or administration, or the conduct of individuals and agencies</w:t>
            </w:r>
            <w:r w:rsidR="0056584E" w:rsidRPr="006D2D06">
              <w:rPr>
                <w:sz w:val="23"/>
                <w:szCs w:val="23"/>
              </w:rPr>
              <w:t xml:space="preserve">); </w:t>
            </w:r>
            <w:r w:rsidR="00B52995" w:rsidRPr="00C94632">
              <w:rPr>
                <w:sz w:val="23"/>
                <w:szCs w:val="23"/>
              </w:rPr>
              <w:t>relevant statutory powers of the inquiry</w:t>
            </w:r>
            <w:r w:rsidR="00C94632">
              <w:rPr>
                <w:sz w:val="23"/>
                <w:szCs w:val="23"/>
              </w:rPr>
              <w:t xml:space="preserve"> (</w:t>
            </w:r>
            <w:r w:rsidR="00B52995" w:rsidRPr="00C94632">
              <w:rPr>
                <w:sz w:val="23"/>
                <w:szCs w:val="23"/>
              </w:rPr>
              <w:t>such as rules around the availability of information, the power to determine release of information and to summon witnesses</w:t>
            </w:r>
            <w:r w:rsidR="00C94632">
              <w:rPr>
                <w:sz w:val="23"/>
                <w:szCs w:val="23"/>
              </w:rPr>
              <w:t>)</w:t>
            </w:r>
            <w:r w:rsidR="00B52995" w:rsidRPr="00C94632">
              <w:rPr>
                <w:sz w:val="23"/>
                <w:szCs w:val="23"/>
              </w:rPr>
              <w:t xml:space="preserve">; </w:t>
            </w:r>
            <w:r w:rsidR="0056584E" w:rsidRPr="006D2D06">
              <w:rPr>
                <w:sz w:val="23"/>
                <w:szCs w:val="23"/>
              </w:rPr>
              <w:t>the procedures adopted by the inquiry (</w:t>
            </w:r>
            <w:r w:rsidR="00B41612" w:rsidRPr="00A80B13">
              <w:rPr>
                <w:sz w:val="23"/>
                <w:szCs w:val="23"/>
              </w:rPr>
              <w:t>whether adversarial or inquisitorial, and whether witnesses will be summoned and cross-examined</w:t>
            </w:r>
            <w:r w:rsidR="0056584E" w:rsidRPr="006D2D06">
              <w:rPr>
                <w:sz w:val="23"/>
                <w:szCs w:val="23"/>
              </w:rPr>
              <w:t xml:space="preserve">); and the </w:t>
            </w:r>
            <w:r w:rsidR="009009BC">
              <w:rPr>
                <w:sz w:val="23"/>
                <w:szCs w:val="23"/>
              </w:rPr>
              <w:t>possibility</w:t>
            </w:r>
            <w:r w:rsidR="0056584E" w:rsidRPr="006D2D06">
              <w:rPr>
                <w:sz w:val="23"/>
                <w:szCs w:val="23"/>
              </w:rPr>
              <w:t xml:space="preserve"> that fault will </w:t>
            </w:r>
            <w:r w:rsidR="00134073">
              <w:rPr>
                <w:sz w:val="23"/>
                <w:szCs w:val="23"/>
              </w:rPr>
              <w:t xml:space="preserve">be </w:t>
            </w:r>
            <w:r w:rsidR="0056584E" w:rsidRPr="006D2D06">
              <w:rPr>
                <w:sz w:val="23"/>
                <w:szCs w:val="23"/>
              </w:rPr>
              <w:t>found or recommendations to d</w:t>
            </w:r>
            <w:r w:rsidR="00C96D5B">
              <w:rPr>
                <w:sz w:val="23"/>
                <w:szCs w:val="23"/>
              </w:rPr>
              <w:t>etermine liability will be made</w:t>
            </w:r>
            <w:r w:rsidR="0056584E" w:rsidRPr="006D2D06">
              <w:rPr>
                <w:sz w:val="23"/>
                <w:szCs w:val="23"/>
              </w:rPr>
              <w:t xml:space="preserve">. </w:t>
            </w:r>
            <w:r w:rsidR="00730D6E" w:rsidRPr="00A80B13">
              <w:rPr>
                <w:sz w:val="23"/>
                <w:szCs w:val="23"/>
              </w:rPr>
              <w:t xml:space="preserve">Section 6(c) is more likely to apply where an inquiry is, in some shape or form, </w:t>
            </w:r>
            <w:r w:rsidR="00730D6E" w:rsidRPr="00E82B40">
              <w:rPr>
                <w:b/>
                <w:sz w:val="23"/>
                <w:szCs w:val="23"/>
              </w:rPr>
              <w:t>investigating compliance with legal rules or standards</w:t>
            </w:r>
            <w:r w:rsidR="00730D6E" w:rsidRPr="00A80B13">
              <w:rPr>
                <w:sz w:val="23"/>
                <w:szCs w:val="23"/>
              </w:rPr>
              <w:t>.</w:t>
            </w:r>
            <w:r w:rsidR="00730D6E">
              <w:t xml:space="preserve"> </w:t>
            </w:r>
          </w:p>
          <w:p w:rsidR="00EE2D60" w:rsidRPr="006D2D06" w:rsidRDefault="008B38E1" w:rsidP="00C27171">
            <w:pPr>
              <w:pStyle w:val="BodyText"/>
              <w:rPr>
                <w:sz w:val="23"/>
                <w:szCs w:val="23"/>
              </w:rPr>
            </w:pPr>
            <w:r w:rsidRPr="006D2D06">
              <w:rPr>
                <w:sz w:val="23"/>
                <w:szCs w:val="23"/>
              </w:rPr>
              <w:t xml:space="preserve">Section 6(c) will usually only apply on a </w:t>
            </w:r>
            <w:r w:rsidRPr="00C96D5B">
              <w:rPr>
                <w:b/>
                <w:sz w:val="23"/>
                <w:szCs w:val="23"/>
              </w:rPr>
              <w:t>temporary</w:t>
            </w:r>
            <w:r w:rsidRPr="006D2D06">
              <w:rPr>
                <w:sz w:val="23"/>
                <w:szCs w:val="23"/>
              </w:rPr>
              <w:t xml:space="preserve"> basis—while the inquiry is underway. It will not apply just because release might lead to </w:t>
            </w:r>
            <w:r w:rsidRPr="00C96D5B">
              <w:rPr>
                <w:b/>
                <w:sz w:val="23"/>
                <w:szCs w:val="23"/>
              </w:rPr>
              <w:t>public debate or comment</w:t>
            </w:r>
            <w:r w:rsidRPr="006D2D06">
              <w:rPr>
                <w:sz w:val="23"/>
                <w:szCs w:val="23"/>
              </w:rPr>
              <w:t xml:space="preserve"> about </w:t>
            </w:r>
            <w:r w:rsidR="00C27171">
              <w:rPr>
                <w:sz w:val="23"/>
                <w:szCs w:val="23"/>
              </w:rPr>
              <w:t>a matter that is under</w:t>
            </w:r>
            <w:r w:rsidR="00C96D5B">
              <w:rPr>
                <w:sz w:val="23"/>
                <w:szCs w:val="23"/>
              </w:rPr>
              <w:t xml:space="preserve"> inquiry</w:t>
            </w:r>
            <w:r w:rsidRPr="006D2D06">
              <w:rPr>
                <w:sz w:val="23"/>
                <w:szCs w:val="23"/>
              </w:rPr>
              <w:t xml:space="preserve">. Nor will it apply because meeting OIA requests about an inquiry would impact—in </w:t>
            </w:r>
            <w:r w:rsidRPr="00C27171">
              <w:rPr>
                <w:b/>
                <w:sz w:val="23"/>
                <w:szCs w:val="23"/>
              </w:rPr>
              <w:t>administrative</w:t>
            </w:r>
            <w:r w:rsidRPr="006D2D06">
              <w:rPr>
                <w:sz w:val="23"/>
                <w:szCs w:val="23"/>
              </w:rPr>
              <w:t xml:space="preserve"> sense—on the agency or the inquiry.</w:t>
            </w:r>
          </w:p>
        </w:tc>
      </w:tr>
      <w:tr w:rsidR="00B9750D" w:rsidTr="00351C6B">
        <w:trPr>
          <w:cantSplit/>
        </w:trPr>
        <w:tc>
          <w:tcPr>
            <w:tcW w:w="1985" w:type="dxa"/>
            <w:shd w:val="clear" w:color="auto" w:fill="auto"/>
          </w:tcPr>
          <w:p w:rsidR="00B9750D" w:rsidRPr="006D2D06" w:rsidRDefault="00B9750D" w:rsidP="00555FE1">
            <w:pPr>
              <w:pStyle w:val="Tableheadingrow1"/>
              <w:keepNext w:val="0"/>
              <w:widowControl w:val="0"/>
              <w:rPr>
                <w:b/>
                <w:color w:val="auto"/>
                <w:sz w:val="23"/>
                <w:szCs w:val="23"/>
              </w:rPr>
            </w:pPr>
            <w:r w:rsidRPr="006D2D06">
              <w:rPr>
                <w:b/>
                <w:color w:val="auto"/>
                <w:sz w:val="23"/>
                <w:szCs w:val="23"/>
              </w:rPr>
              <w:t xml:space="preserve">Release contrary to the Inquiries Act </w:t>
            </w:r>
          </w:p>
        </w:tc>
        <w:tc>
          <w:tcPr>
            <w:tcW w:w="7229" w:type="dxa"/>
            <w:shd w:val="clear" w:color="auto" w:fill="auto"/>
          </w:tcPr>
          <w:p w:rsidR="00B9750D" w:rsidRPr="006D2D06" w:rsidRDefault="00B9750D" w:rsidP="00E9100C">
            <w:pPr>
              <w:pStyle w:val="BodyText"/>
              <w:widowControl w:val="0"/>
              <w:rPr>
                <w:sz w:val="23"/>
                <w:szCs w:val="23"/>
              </w:rPr>
            </w:pPr>
            <w:r w:rsidRPr="006D2D06">
              <w:rPr>
                <w:sz w:val="23"/>
                <w:szCs w:val="23"/>
              </w:rPr>
              <w:t>Section 18(c)(i)</w:t>
            </w:r>
            <w:r w:rsidR="00552554">
              <w:rPr>
                <w:sz w:val="23"/>
                <w:szCs w:val="23"/>
              </w:rPr>
              <w:t xml:space="preserve"> of the OIA</w:t>
            </w:r>
            <w:r w:rsidRPr="006D2D06">
              <w:rPr>
                <w:sz w:val="23"/>
                <w:szCs w:val="23"/>
              </w:rPr>
              <w:t xml:space="preserve"> can apply w</w:t>
            </w:r>
            <w:r w:rsidR="006F3B35">
              <w:rPr>
                <w:sz w:val="23"/>
                <w:szCs w:val="23"/>
              </w:rPr>
              <w:t>h</w:t>
            </w:r>
            <w:r w:rsidRPr="006D2D06">
              <w:rPr>
                <w:sz w:val="23"/>
                <w:szCs w:val="23"/>
              </w:rPr>
              <w:t xml:space="preserve">ere release would </w:t>
            </w:r>
            <w:r w:rsidR="006D2D06" w:rsidRPr="006D2D06">
              <w:rPr>
                <w:sz w:val="23"/>
                <w:szCs w:val="23"/>
              </w:rPr>
              <w:t>contravene</w:t>
            </w:r>
            <w:r w:rsidRPr="006D2D06">
              <w:rPr>
                <w:sz w:val="23"/>
                <w:szCs w:val="23"/>
              </w:rPr>
              <w:t xml:space="preserve"> an inquiry’s procedural order or direction (for example, restrict</w:t>
            </w:r>
            <w:r w:rsidR="00552554">
              <w:rPr>
                <w:sz w:val="23"/>
                <w:szCs w:val="23"/>
              </w:rPr>
              <w:t>ing public access to any part or</w:t>
            </w:r>
            <w:r w:rsidRPr="006D2D06">
              <w:rPr>
                <w:sz w:val="23"/>
                <w:szCs w:val="23"/>
              </w:rPr>
              <w:t xml:space="preserve"> aspect of the inquiry), and constitute an offence under the Inquiries Act.</w:t>
            </w:r>
            <w:r w:rsidR="000D3ABF" w:rsidRPr="006D2D06">
              <w:rPr>
                <w:sz w:val="23"/>
                <w:szCs w:val="23"/>
              </w:rPr>
              <w:t xml:space="preserve"> Agencies should be able to point to the specific order or direction, and say how release of the information at issue under the O</w:t>
            </w:r>
            <w:r w:rsidR="00552554">
              <w:rPr>
                <w:sz w:val="23"/>
                <w:szCs w:val="23"/>
              </w:rPr>
              <w:t>I</w:t>
            </w:r>
            <w:r w:rsidR="000D3ABF" w:rsidRPr="006D2D06">
              <w:rPr>
                <w:sz w:val="23"/>
                <w:szCs w:val="23"/>
              </w:rPr>
              <w:t xml:space="preserve">A would </w:t>
            </w:r>
            <w:r w:rsidR="006D2D06" w:rsidRPr="006D2D06">
              <w:rPr>
                <w:sz w:val="23"/>
                <w:szCs w:val="23"/>
              </w:rPr>
              <w:t>contravene</w:t>
            </w:r>
            <w:r w:rsidR="000D3ABF" w:rsidRPr="006D2D06">
              <w:rPr>
                <w:sz w:val="23"/>
                <w:szCs w:val="23"/>
              </w:rPr>
              <w:t xml:space="preserve"> </w:t>
            </w:r>
            <w:r w:rsidR="00E9100C">
              <w:rPr>
                <w:sz w:val="23"/>
                <w:szCs w:val="23"/>
              </w:rPr>
              <w:t>it</w:t>
            </w:r>
            <w:r w:rsidR="000D3ABF" w:rsidRPr="006D2D06">
              <w:rPr>
                <w:sz w:val="23"/>
                <w:szCs w:val="23"/>
              </w:rPr>
              <w:t xml:space="preserve">. </w:t>
            </w:r>
            <w:r w:rsidR="006A22C5" w:rsidRPr="006D2D06">
              <w:rPr>
                <w:sz w:val="23"/>
                <w:szCs w:val="23"/>
              </w:rPr>
              <w:t>It</w:t>
            </w:r>
            <w:r w:rsidR="000D3ABF" w:rsidRPr="006D2D06">
              <w:rPr>
                <w:sz w:val="23"/>
                <w:szCs w:val="23"/>
              </w:rPr>
              <w:t xml:space="preserve"> may be appropriate to consult the inquiry about whether re</w:t>
            </w:r>
            <w:r w:rsidR="006D2D06" w:rsidRPr="006D2D06">
              <w:rPr>
                <w:sz w:val="23"/>
                <w:szCs w:val="23"/>
              </w:rPr>
              <w:t>lease under the OIA would contravene</w:t>
            </w:r>
            <w:r w:rsidR="000D3ABF" w:rsidRPr="006D2D06">
              <w:rPr>
                <w:sz w:val="23"/>
                <w:szCs w:val="23"/>
              </w:rPr>
              <w:t xml:space="preserve"> its orders or directions. </w:t>
            </w:r>
          </w:p>
        </w:tc>
      </w:tr>
      <w:tr w:rsidR="00A00858" w:rsidTr="00351C6B">
        <w:trPr>
          <w:cantSplit/>
        </w:trPr>
        <w:tc>
          <w:tcPr>
            <w:tcW w:w="1985" w:type="dxa"/>
            <w:shd w:val="clear" w:color="auto" w:fill="auto"/>
          </w:tcPr>
          <w:p w:rsidR="00A00858" w:rsidRPr="006D2D06" w:rsidRDefault="00A00858" w:rsidP="00555FE1">
            <w:pPr>
              <w:pStyle w:val="Tableheadingrow1"/>
              <w:keepNext w:val="0"/>
              <w:widowControl w:val="0"/>
              <w:rPr>
                <w:b/>
                <w:color w:val="auto"/>
                <w:sz w:val="23"/>
                <w:szCs w:val="23"/>
              </w:rPr>
            </w:pPr>
            <w:r>
              <w:rPr>
                <w:b/>
                <w:color w:val="auto"/>
                <w:sz w:val="23"/>
                <w:szCs w:val="23"/>
              </w:rPr>
              <w:t>Other refusal grounds</w:t>
            </w:r>
          </w:p>
        </w:tc>
        <w:tc>
          <w:tcPr>
            <w:tcW w:w="7229" w:type="dxa"/>
            <w:shd w:val="clear" w:color="auto" w:fill="auto"/>
          </w:tcPr>
          <w:p w:rsidR="00A00858" w:rsidRPr="006D2D06" w:rsidRDefault="00A00858" w:rsidP="00E9100C">
            <w:pPr>
              <w:pStyle w:val="BodyText"/>
              <w:widowControl w:val="0"/>
              <w:rPr>
                <w:sz w:val="23"/>
                <w:szCs w:val="23"/>
              </w:rPr>
            </w:pPr>
            <w:r w:rsidRPr="006D2D06">
              <w:rPr>
                <w:sz w:val="23"/>
                <w:szCs w:val="23"/>
              </w:rPr>
              <w:t>Other potentially relevant refusal grounds include: section 9(2)(a) (</w:t>
            </w:r>
            <w:hyperlink r:id="rId46" w:history="1">
              <w:r w:rsidRPr="006D2D06">
                <w:rPr>
                  <w:rStyle w:val="Hyperlink"/>
                  <w:sz w:val="23"/>
                  <w:szCs w:val="23"/>
                </w:rPr>
                <w:t>privacy</w:t>
              </w:r>
            </w:hyperlink>
            <w:r w:rsidRPr="006D2D06">
              <w:rPr>
                <w:sz w:val="23"/>
                <w:szCs w:val="23"/>
              </w:rPr>
              <w:t>), section 9(2)(ba) (</w:t>
            </w:r>
            <w:hyperlink r:id="rId47" w:history="1">
              <w:r w:rsidRPr="006D2D06">
                <w:rPr>
                  <w:rStyle w:val="Hyperlink"/>
                  <w:sz w:val="23"/>
                  <w:szCs w:val="23"/>
                </w:rPr>
                <w:t>confidentiality</w:t>
              </w:r>
            </w:hyperlink>
            <w:r w:rsidRPr="006D2D06">
              <w:rPr>
                <w:sz w:val="23"/>
                <w:szCs w:val="23"/>
              </w:rPr>
              <w:t>), section 9(2)(g)(i) (</w:t>
            </w:r>
            <w:hyperlink r:id="rId48" w:history="1">
              <w:r w:rsidRPr="006D2D06">
                <w:rPr>
                  <w:rStyle w:val="Hyperlink"/>
                  <w:sz w:val="23"/>
                  <w:szCs w:val="23"/>
                </w:rPr>
                <w:t>free and frank opinions</w:t>
              </w:r>
            </w:hyperlink>
            <w:r w:rsidRPr="006D2D06">
              <w:rPr>
                <w:sz w:val="23"/>
                <w:szCs w:val="23"/>
              </w:rPr>
              <w:t>), section 9(2)(h) (</w:t>
            </w:r>
            <w:hyperlink r:id="rId49" w:history="1">
              <w:r w:rsidRPr="006D2D06">
                <w:rPr>
                  <w:rStyle w:val="Hyperlink"/>
                  <w:sz w:val="23"/>
                  <w:szCs w:val="23"/>
                </w:rPr>
                <w:t>legal professional privilege</w:t>
              </w:r>
            </w:hyperlink>
            <w:r w:rsidRPr="006D2D06">
              <w:rPr>
                <w:sz w:val="23"/>
                <w:szCs w:val="23"/>
              </w:rPr>
              <w:t>), section 18(d) (</w:t>
            </w:r>
            <w:hyperlink r:id="rId50" w:history="1">
              <w:r w:rsidRPr="006D2D06">
                <w:rPr>
                  <w:rStyle w:val="Hyperlink"/>
                  <w:sz w:val="23"/>
                  <w:szCs w:val="23"/>
                </w:rPr>
                <w:t>publicly available information</w:t>
              </w:r>
            </w:hyperlink>
            <w:r w:rsidRPr="006D2D06">
              <w:rPr>
                <w:sz w:val="23"/>
                <w:szCs w:val="23"/>
              </w:rPr>
              <w:t>) and section 18(g) (</w:t>
            </w:r>
            <w:hyperlink r:id="rId51" w:history="1">
              <w:r w:rsidRPr="006D2D06">
                <w:rPr>
                  <w:rStyle w:val="Hyperlink"/>
                  <w:sz w:val="23"/>
                  <w:szCs w:val="23"/>
                </w:rPr>
                <w:t>information not held</w:t>
              </w:r>
            </w:hyperlink>
            <w:r w:rsidRPr="006D2D06">
              <w:rPr>
                <w:sz w:val="23"/>
                <w:szCs w:val="23"/>
              </w:rPr>
              <w:t>).</w:t>
            </w:r>
          </w:p>
        </w:tc>
      </w:tr>
    </w:tbl>
    <w:p w:rsidR="005503F6" w:rsidRDefault="005503F6" w:rsidP="00FF2B78">
      <w:pPr>
        <w:pStyle w:val="BodyText"/>
      </w:pPr>
      <w:bookmarkStart w:id="47" w:name="casestudies"/>
      <w:bookmarkEnd w:id="47"/>
    </w:p>
    <w:p w:rsidR="008734DD" w:rsidRDefault="008734DD" w:rsidP="008734DD">
      <w:pPr>
        <w:pStyle w:val="HeadingAppendix"/>
      </w:pPr>
      <w:bookmarkStart w:id="48" w:name="appendiz2"/>
      <w:bookmarkStart w:id="49" w:name="_Toc33711908"/>
      <w:bookmarkStart w:id="50" w:name="_Toc48123852"/>
      <w:bookmarkEnd w:id="48"/>
      <w:r>
        <w:lastRenderedPageBreak/>
        <w:t>Relevant case notes and opinions</w:t>
      </w:r>
      <w:bookmarkEnd w:id="49"/>
      <w:bookmarkEnd w:id="50"/>
      <w:r>
        <w:t xml:space="preserve"> </w:t>
      </w:r>
    </w:p>
    <w:tbl>
      <w:tblPr>
        <w:tblStyle w:val="TableGrid"/>
        <w:tblW w:w="9101" w:type="dxa"/>
        <w:tblInd w:w="108" w:type="dxa"/>
        <w:tblLayout w:type="fixed"/>
        <w:tblLook w:val="0620" w:firstRow="1" w:lastRow="0" w:firstColumn="0" w:lastColumn="0" w:noHBand="1" w:noVBand="1"/>
        <w:tblCaption w:val="Box to emphasise text"/>
      </w:tblPr>
      <w:tblGrid>
        <w:gridCol w:w="1163"/>
        <w:gridCol w:w="1134"/>
        <w:gridCol w:w="6804"/>
      </w:tblGrid>
      <w:tr w:rsidR="002C1679" w:rsidTr="00F57D05">
        <w:trPr>
          <w:cnfStyle w:val="100000000000" w:firstRow="1" w:lastRow="0" w:firstColumn="0" w:lastColumn="0" w:oddVBand="0" w:evenVBand="0" w:oddHBand="0" w:evenHBand="0" w:firstRowFirstColumn="0" w:firstRowLastColumn="0" w:lastRowFirstColumn="0" w:lastRowLastColumn="0"/>
          <w:cantSplit/>
        </w:trPr>
        <w:tc>
          <w:tcPr>
            <w:tcW w:w="1163" w:type="dxa"/>
          </w:tcPr>
          <w:p w:rsidR="002C1679" w:rsidRDefault="002C1679" w:rsidP="00F57D05">
            <w:pPr>
              <w:pStyle w:val="Tableheadingrow1"/>
              <w:keepNext w:val="0"/>
              <w:widowControl w:val="0"/>
            </w:pPr>
            <w:r>
              <w:t>Case</w:t>
            </w:r>
          </w:p>
        </w:tc>
        <w:tc>
          <w:tcPr>
            <w:tcW w:w="1134" w:type="dxa"/>
          </w:tcPr>
          <w:p w:rsidR="002C1679" w:rsidRDefault="002C1679" w:rsidP="00F57D05">
            <w:pPr>
              <w:pStyle w:val="Tableheadingrow1"/>
              <w:keepNext w:val="0"/>
              <w:widowControl w:val="0"/>
            </w:pPr>
            <w:r>
              <w:t>Year</w:t>
            </w:r>
          </w:p>
        </w:tc>
        <w:tc>
          <w:tcPr>
            <w:tcW w:w="6804" w:type="dxa"/>
          </w:tcPr>
          <w:p w:rsidR="002C1679" w:rsidRDefault="002C1679" w:rsidP="00F57D05">
            <w:pPr>
              <w:pStyle w:val="Tableheadingrow1"/>
              <w:keepNext w:val="0"/>
              <w:widowControl w:val="0"/>
            </w:pPr>
            <w:r>
              <w:t>Summary</w:t>
            </w:r>
          </w:p>
        </w:tc>
      </w:tr>
      <w:tr w:rsidR="002C1679" w:rsidTr="00F57D05">
        <w:trPr>
          <w:cantSplit/>
        </w:trPr>
        <w:tc>
          <w:tcPr>
            <w:tcW w:w="1163"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491854 &amp; 491000</w:t>
            </w:r>
          </w:p>
        </w:tc>
        <w:tc>
          <w:tcPr>
            <w:tcW w:w="1134"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2018</w:t>
            </w:r>
          </w:p>
        </w:tc>
        <w:bookmarkStart w:id="51" w:name="index462024"/>
        <w:bookmarkEnd w:id="51"/>
        <w:tc>
          <w:tcPr>
            <w:tcW w:w="6804" w:type="dxa"/>
            <w:shd w:val="clear" w:color="auto" w:fill="auto"/>
          </w:tcPr>
          <w:p w:rsidR="002C1679" w:rsidRPr="002C1679" w:rsidRDefault="00C60FFB" w:rsidP="00F57D05">
            <w:pPr>
              <w:pStyle w:val="Tablesinglespacedparagraph"/>
              <w:rPr>
                <w:rStyle w:val="HyperlinkSourceTextReference"/>
              </w:rPr>
            </w:pPr>
            <w:r>
              <w:rPr>
                <w:rStyle w:val="HyperlinkSourceTextReference"/>
              </w:rPr>
              <w:fldChar w:fldCharType="begin"/>
            </w:r>
            <w:r>
              <w:rPr>
                <w:rStyle w:val="HyperlinkSourceTextReference"/>
              </w:rPr>
              <w:instrText xml:space="preserve"> HYPERLINK "https://www.ombudsman.parliament.nz/resources/request-correspondence-between-agencies-and-operation-burnham-inquiry" </w:instrText>
            </w:r>
            <w:r>
              <w:rPr>
                <w:rStyle w:val="HyperlinkSourceTextReference"/>
              </w:rPr>
              <w:fldChar w:fldCharType="separate"/>
            </w:r>
            <w:r w:rsidR="001F3BE0" w:rsidRPr="00C60FFB">
              <w:rPr>
                <w:rStyle w:val="Hyperlink"/>
              </w:rPr>
              <w:t>Request for c</w:t>
            </w:r>
            <w:r w:rsidR="002C1679" w:rsidRPr="00C60FFB">
              <w:rPr>
                <w:rStyle w:val="Hyperlink"/>
              </w:rPr>
              <w:t>orrespondence between agencies and Operation Burnham inquiry</w:t>
            </w:r>
            <w:r>
              <w:rPr>
                <w:rStyle w:val="HyperlinkSourceTextReference"/>
              </w:rPr>
              <w:fldChar w:fldCharType="end"/>
            </w:r>
            <w:r w:rsidR="002C1679" w:rsidRPr="002C1679">
              <w:rPr>
                <w:rStyle w:val="HyperlinkSourceTextReference"/>
              </w:rPr>
              <w:t xml:space="preserve"> </w:t>
            </w:r>
          </w:p>
          <w:p w:rsidR="002C1679" w:rsidRDefault="00C77936" w:rsidP="00F57D05">
            <w:pPr>
              <w:pStyle w:val="Tablesinglespacedparagraph"/>
              <w:widowControl w:val="0"/>
              <w:rPr>
                <w:rStyle w:val="Hyperlink"/>
                <w:color w:val="auto"/>
              </w:rPr>
            </w:pPr>
            <w:r w:rsidRPr="00C77936">
              <w:rPr>
                <w:i/>
                <w:color w:val="auto"/>
                <w:sz w:val="20"/>
                <w:szCs w:val="20"/>
              </w:rPr>
              <w:t>Information held by agencies was ‘official information’—no exclusions applied—section 32 of the Inquiries Act did not change the status of the information held by agencies as ‘official’— information released with redactions</w:t>
            </w:r>
          </w:p>
        </w:tc>
      </w:tr>
      <w:tr w:rsidR="002C1679" w:rsidTr="00F57D05">
        <w:trPr>
          <w:cantSplit/>
        </w:trPr>
        <w:tc>
          <w:tcPr>
            <w:tcW w:w="1163"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481126</w:t>
            </w:r>
          </w:p>
          <w:p w:rsidR="002C1679" w:rsidRPr="00F149D3" w:rsidRDefault="002C1679" w:rsidP="00F57D05">
            <w:pPr>
              <w:pStyle w:val="Tablesinglespacedparagraph"/>
              <w:widowControl w:val="0"/>
              <w:rPr>
                <w:rStyle w:val="Hyperlink"/>
                <w:rFonts w:asciiTheme="minorHAnsi" w:hAnsiTheme="minorHAnsi" w:cstheme="minorHAnsi"/>
                <w:color w:val="auto"/>
                <w:u w:val="none"/>
              </w:rPr>
            </w:pPr>
          </w:p>
        </w:tc>
        <w:tc>
          <w:tcPr>
            <w:tcW w:w="1134"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2019</w:t>
            </w:r>
          </w:p>
        </w:tc>
        <w:tc>
          <w:tcPr>
            <w:tcW w:w="6804" w:type="dxa"/>
            <w:shd w:val="clear" w:color="auto" w:fill="auto"/>
          </w:tcPr>
          <w:p w:rsidR="002C1679" w:rsidRPr="002C1679" w:rsidRDefault="003B7727" w:rsidP="00F57D05">
            <w:pPr>
              <w:pStyle w:val="Tablesinglespacedparagraph"/>
              <w:rPr>
                <w:rStyle w:val="HyperlinkSourceTextReference"/>
              </w:rPr>
            </w:pPr>
            <w:hyperlink r:id="rId52" w:history="1">
              <w:r w:rsidR="001F3BE0" w:rsidRPr="00E86E05">
                <w:rPr>
                  <w:rStyle w:val="Hyperlink"/>
                </w:rPr>
                <w:t xml:space="preserve">Request for information </w:t>
              </w:r>
              <w:r w:rsidR="002C1679" w:rsidRPr="00E86E05">
                <w:rPr>
                  <w:rStyle w:val="Hyperlink"/>
                </w:rPr>
                <w:t xml:space="preserve">about Operation Burnham  </w:t>
              </w:r>
            </w:hyperlink>
            <w:r w:rsidR="002C1679" w:rsidRPr="002C1679">
              <w:rPr>
                <w:rStyle w:val="HyperlinkSourceTextReference"/>
              </w:rPr>
              <w:t xml:space="preserve"> </w:t>
            </w:r>
          </w:p>
          <w:p w:rsidR="00F57D05" w:rsidRDefault="00751429" w:rsidP="000D5098">
            <w:pPr>
              <w:pStyle w:val="Tablesinglespacedparagraph"/>
              <w:widowControl w:val="0"/>
              <w:rPr>
                <w:rStyle w:val="HyperlinkSourceTextReference"/>
              </w:rPr>
            </w:pPr>
            <w:r w:rsidRPr="00751429">
              <w:rPr>
                <w:i/>
                <w:color w:val="auto"/>
                <w:sz w:val="20"/>
                <w:szCs w:val="20"/>
              </w:rPr>
              <w:t xml:space="preserve">Section 6(c) </w:t>
            </w:r>
            <w:r w:rsidR="005D5889">
              <w:rPr>
                <w:i/>
                <w:color w:val="auto"/>
                <w:sz w:val="20"/>
                <w:szCs w:val="20"/>
              </w:rPr>
              <w:t xml:space="preserve">OIA </w:t>
            </w:r>
            <w:r w:rsidRPr="00751429">
              <w:rPr>
                <w:i/>
                <w:color w:val="auto"/>
                <w:sz w:val="20"/>
                <w:szCs w:val="20"/>
              </w:rPr>
              <w:t>can potentially apply to prevent prejudice to the conduct of an inquiry under the Inquiries Act—however, blanket refusal was not justified—basic and uncontested factual material could be provided—section 6(c) applied where questions sought to interrogate someone on an issue which may lead to subsequent questions of liability—likelihood of public debate and administrative concerns not reasons for withholding under section 6(c)</w:t>
            </w:r>
          </w:p>
        </w:tc>
      </w:tr>
      <w:tr w:rsidR="002C1679" w:rsidTr="00F57D05">
        <w:trPr>
          <w:cantSplit/>
        </w:trPr>
        <w:tc>
          <w:tcPr>
            <w:tcW w:w="1163"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304423</w:t>
            </w:r>
          </w:p>
        </w:tc>
        <w:tc>
          <w:tcPr>
            <w:tcW w:w="1134"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2011</w:t>
            </w:r>
          </w:p>
        </w:tc>
        <w:tc>
          <w:tcPr>
            <w:tcW w:w="6804" w:type="dxa"/>
            <w:shd w:val="clear" w:color="auto" w:fill="auto"/>
          </w:tcPr>
          <w:p w:rsidR="002C1679" w:rsidRPr="00997568" w:rsidRDefault="003B7727" w:rsidP="00F57D05">
            <w:pPr>
              <w:pStyle w:val="Tablesinglespacedparagraph"/>
              <w:rPr>
                <w:rStyle w:val="HyperlinkSourceTextReference"/>
              </w:rPr>
            </w:pPr>
            <w:hyperlink r:id="rId53" w:history="1">
              <w:r w:rsidR="001F3BE0" w:rsidRPr="00581668">
                <w:rPr>
                  <w:rStyle w:val="Hyperlink"/>
                </w:rPr>
                <w:t>Request for i</w:t>
              </w:r>
              <w:r w:rsidR="002C1679" w:rsidRPr="00581668">
                <w:rPr>
                  <w:rStyle w:val="Hyperlink"/>
                </w:rPr>
                <w:t xml:space="preserve">nformation about the operation of the Spring Creek Coal Mine  </w:t>
              </w:r>
            </w:hyperlink>
            <w:r w:rsidR="002C1679" w:rsidRPr="00997568">
              <w:rPr>
                <w:rStyle w:val="HyperlinkSourceTextReference"/>
              </w:rPr>
              <w:t xml:space="preserve"> </w:t>
            </w:r>
          </w:p>
          <w:p w:rsidR="002C1679" w:rsidRDefault="0097290F" w:rsidP="00F57D05">
            <w:pPr>
              <w:pStyle w:val="Tablesinglespacedparagraph"/>
              <w:widowControl w:val="0"/>
              <w:rPr>
                <w:rStyle w:val="HyperlinkSourceTextReference"/>
              </w:rPr>
            </w:pPr>
            <w:r w:rsidRPr="0097290F">
              <w:rPr>
                <w:i/>
                <w:color w:val="auto"/>
                <w:sz w:val="20"/>
                <w:szCs w:val="20"/>
              </w:rPr>
              <w:t>Information was ‘official information’—Section 6(c) OIA did not apply—information not directly relevant to inquiry—release not likely to prejudice the effective conduct of the Royal Commission of Inquiry</w:t>
            </w:r>
          </w:p>
        </w:tc>
      </w:tr>
      <w:tr w:rsidR="002C1679" w:rsidTr="00F57D05">
        <w:trPr>
          <w:cantSplit/>
        </w:trPr>
        <w:tc>
          <w:tcPr>
            <w:tcW w:w="1163"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301633 &amp; 301637</w:t>
            </w:r>
          </w:p>
        </w:tc>
        <w:tc>
          <w:tcPr>
            <w:tcW w:w="1134" w:type="dxa"/>
            <w:shd w:val="clear" w:color="auto" w:fill="auto"/>
          </w:tcPr>
          <w:p w:rsidR="002C1679" w:rsidRPr="00F149D3" w:rsidRDefault="002C1679" w:rsidP="00F57D05">
            <w:pPr>
              <w:pStyle w:val="Tablesinglespacedparagraph"/>
              <w:widowControl w:val="0"/>
              <w:rPr>
                <w:rStyle w:val="Hyperlink"/>
                <w:rFonts w:asciiTheme="minorHAnsi" w:hAnsiTheme="minorHAnsi" w:cstheme="minorHAnsi"/>
                <w:color w:val="auto"/>
                <w:u w:val="none"/>
              </w:rPr>
            </w:pPr>
            <w:r w:rsidRPr="00F149D3">
              <w:rPr>
                <w:rStyle w:val="Hyperlink"/>
                <w:rFonts w:asciiTheme="minorHAnsi" w:hAnsiTheme="minorHAnsi" w:cstheme="minorHAnsi"/>
                <w:color w:val="auto"/>
                <w:u w:val="none"/>
              </w:rPr>
              <w:t>2011</w:t>
            </w:r>
          </w:p>
        </w:tc>
        <w:tc>
          <w:tcPr>
            <w:tcW w:w="6804" w:type="dxa"/>
            <w:shd w:val="clear" w:color="auto" w:fill="auto"/>
          </w:tcPr>
          <w:p w:rsidR="002C1679" w:rsidRPr="00997568" w:rsidRDefault="003B7727" w:rsidP="00F57D05">
            <w:pPr>
              <w:pStyle w:val="Tablesinglespacedparagraph"/>
              <w:rPr>
                <w:rStyle w:val="HyperlinkSourceTextReference"/>
              </w:rPr>
            </w:pPr>
            <w:hyperlink r:id="rId54" w:history="1">
              <w:r w:rsidR="001F3BE0" w:rsidRPr="00581668">
                <w:rPr>
                  <w:rStyle w:val="Hyperlink"/>
                </w:rPr>
                <w:t>Request for i</w:t>
              </w:r>
              <w:r w:rsidR="002C1679" w:rsidRPr="00581668">
                <w:rPr>
                  <w:rStyle w:val="Hyperlink"/>
                </w:rPr>
                <w:t>nformation about Pike River Mine</w:t>
              </w:r>
            </w:hyperlink>
            <w:r w:rsidR="002C1679" w:rsidRPr="00997568">
              <w:rPr>
                <w:rStyle w:val="HyperlinkSourceTextReference"/>
              </w:rPr>
              <w:t xml:space="preserve"> </w:t>
            </w:r>
          </w:p>
          <w:p w:rsidR="002C1679" w:rsidRDefault="00744D87" w:rsidP="00744D87">
            <w:pPr>
              <w:pStyle w:val="Tablesinglespacedparagraph"/>
              <w:widowControl w:val="0"/>
              <w:rPr>
                <w:rStyle w:val="HyperlinkSourceTextReference"/>
              </w:rPr>
            </w:pPr>
            <w:r w:rsidRPr="00744D87">
              <w:rPr>
                <w:i/>
                <w:color w:val="auto"/>
                <w:sz w:val="20"/>
                <w:szCs w:val="20"/>
              </w:rPr>
              <w:t>Section 6(c) OIA applied—release of information directly relevant to the Royal Commission of Inquiry would be likely to prejudice the effective conduct of the Inquiry</w:t>
            </w:r>
            <w:r>
              <w:rPr>
                <w:i/>
                <w:color w:val="auto"/>
                <w:sz w:val="20"/>
                <w:szCs w:val="20"/>
              </w:rPr>
              <w:t xml:space="preserve"> </w:t>
            </w:r>
          </w:p>
        </w:tc>
      </w:tr>
    </w:tbl>
    <w:p w:rsidR="008734DD" w:rsidRDefault="008734DD" w:rsidP="008734DD">
      <w:pPr>
        <w:pStyle w:val="BodyText"/>
      </w:pPr>
    </w:p>
    <w:sectPr w:rsidR="008734DD" w:rsidSect="00FA5B4B">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27" w:rsidRPr="00D45126" w:rsidRDefault="003B7727" w:rsidP="00554FCD">
      <w:pPr>
        <w:spacing w:after="0" w:line="240" w:lineRule="auto"/>
        <w:rPr>
          <w:color w:val="4D4D4D"/>
        </w:rPr>
      </w:pPr>
      <w:r w:rsidRPr="00D45126">
        <w:rPr>
          <w:color w:val="4D4D4D"/>
        </w:rPr>
        <w:separator/>
      </w:r>
    </w:p>
  </w:endnote>
  <w:endnote w:type="continuationSeparator" w:id="0">
    <w:p w:rsidR="003B7727" w:rsidRPr="00D45126" w:rsidRDefault="003B7727" w:rsidP="00554FCD">
      <w:pPr>
        <w:spacing w:after="0" w:line="240" w:lineRule="auto"/>
        <w:rPr>
          <w:color w:val="4D4D4D"/>
        </w:rPr>
      </w:pPr>
      <w:r w:rsidRPr="00D45126">
        <w:rPr>
          <w:color w:val="4D4D4D"/>
        </w:rPr>
        <w:continuationSeparator/>
      </w:r>
    </w:p>
  </w:endnote>
  <w:endnote w:type="continuationNotice" w:id="1">
    <w:p w:rsidR="003B7727" w:rsidRDefault="003B7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Default="003B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Pr="0059155D" w:rsidRDefault="003B7727" w:rsidP="00B81F45">
    <w:pPr>
      <w:pStyle w:val="Footerline"/>
    </w:pPr>
  </w:p>
  <w:p w:rsidR="003B7727" w:rsidRPr="0059155D" w:rsidRDefault="003B7727" w:rsidP="00B81F45">
    <w:pPr>
      <w:pStyle w:val="Footerline"/>
    </w:pPr>
  </w:p>
  <w:p w:rsidR="003B7727" w:rsidRPr="005533D8" w:rsidRDefault="003B7727" w:rsidP="00B81F45">
    <w:pPr>
      <w:pStyle w:val="Footer"/>
    </w:pPr>
    <w:fldSimple w:instr=" DOCVARIABLE  dvShortText ">
      <w:r>
        <w:t>Guide: The OIA and inquiries August 2020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562136">
      <w:rPr>
        <w:rStyle w:val="PageNumber"/>
        <w:noProof/>
      </w:rPr>
      <w:t>6</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Pr="0059155D" w:rsidRDefault="003B7727" w:rsidP="00AA3322">
    <w:pPr>
      <w:pStyle w:val="Footerline"/>
    </w:pPr>
  </w:p>
  <w:p w:rsidR="003B7727" w:rsidRPr="0059155D" w:rsidRDefault="003B7727" w:rsidP="00AA3322">
    <w:pPr>
      <w:pStyle w:val="Footerline"/>
    </w:pPr>
  </w:p>
  <w:p w:rsidR="003B7727" w:rsidRPr="005533D8" w:rsidRDefault="003B7727" w:rsidP="00AA3322">
    <w:pPr>
      <w:pStyle w:val="Footer"/>
    </w:pPr>
    <w:fldSimple w:instr=" DOCVARIABLE  dvShortText ">
      <w:r>
        <w:t>Guide: The OIA and inquiries August 2020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562136">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27" w:rsidRPr="00D45126" w:rsidRDefault="003B7727" w:rsidP="00257DA0">
      <w:pPr>
        <w:spacing w:after="0" w:line="240" w:lineRule="auto"/>
        <w:rPr>
          <w:color w:val="4D4D4D"/>
        </w:rPr>
      </w:pPr>
      <w:r w:rsidRPr="00D45126">
        <w:rPr>
          <w:color w:val="4D4D4D"/>
        </w:rPr>
        <w:separator/>
      </w:r>
    </w:p>
  </w:footnote>
  <w:footnote w:type="continuationSeparator" w:id="0">
    <w:p w:rsidR="003B7727" w:rsidRPr="00C14083" w:rsidRDefault="003B7727" w:rsidP="00554FCD">
      <w:pPr>
        <w:spacing w:after="0" w:line="240" w:lineRule="auto"/>
        <w:rPr>
          <w:color w:val="4D4D4D"/>
        </w:rPr>
      </w:pPr>
      <w:r w:rsidRPr="00C14083">
        <w:rPr>
          <w:color w:val="4D4D4D"/>
        </w:rPr>
        <w:continuationSeparator/>
      </w:r>
    </w:p>
  </w:footnote>
  <w:footnote w:type="continuationNotice" w:id="1">
    <w:p w:rsidR="003B7727" w:rsidRDefault="003B7727">
      <w:pPr>
        <w:spacing w:after="0" w:line="240" w:lineRule="auto"/>
      </w:pPr>
    </w:p>
  </w:footnote>
  <w:footnote w:id="2">
    <w:p w:rsidR="003B7727" w:rsidRDefault="003B7727" w:rsidP="008B1F02">
      <w:pPr>
        <w:pStyle w:val="FootnoteText"/>
      </w:pPr>
      <w:r>
        <w:rPr>
          <w:rStyle w:val="FootnoteReference"/>
        </w:rPr>
        <w:footnoteRef/>
      </w:r>
      <w:r>
        <w:t xml:space="preserve"> </w:t>
      </w:r>
      <w:r>
        <w:tab/>
        <w:t>The COI Act remains in force because a lot of statutory bodies derive their powers from that Act (for example, the Waitangi Tribunal, Broadcasting Standards Authority, Refugee Status Appeals Authority and Social Security Appeal Authority)</w:t>
      </w:r>
      <w:r w:rsidRPr="00A92058">
        <w:t>.</w:t>
      </w:r>
      <w:r>
        <w:t xml:space="preserve"> However, commissions of inquiry can no longer be appointed under the COI Act, and it no longer applies to royal commissions. These types of inquiry can only be done under the Inquiries Act now.</w:t>
      </w:r>
    </w:p>
  </w:footnote>
  <w:footnote w:id="3">
    <w:p w:rsidR="003B7727" w:rsidRDefault="003B7727" w:rsidP="0030405B">
      <w:pPr>
        <w:pStyle w:val="FootnoteText"/>
      </w:pPr>
      <w:r>
        <w:rPr>
          <w:rStyle w:val="FootnoteReference"/>
        </w:rPr>
        <w:footnoteRef/>
      </w:r>
      <w:r>
        <w:t xml:space="preserve"> </w:t>
      </w:r>
      <w:r>
        <w:tab/>
        <w:t xml:space="preserve">See </w:t>
      </w:r>
      <w:hyperlink r:id="rId1" w:history="1">
        <w:r w:rsidRPr="002A296C">
          <w:rPr>
            <w:rStyle w:val="Hyperlink"/>
          </w:rPr>
          <w:t>s 6(1)</w:t>
        </w:r>
      </w:hyperlink>
      <w:r>
        <w:t xml:space="preserve"> Inquiries Act.</w:t>
      </w:r>
    </w:p>
  </w:footnote>
  <w:footnote w:id="4">
    <w:p w:rsidR="003B7727" w:rsidRPr="00976478" w:rsidRDefault="003B7727" w:rsidP="005633D2">
      <w:pPr>
        <w:pStyle w:val="FootnoteText"/>
        <w:rPr>
          <w:i/>
        </w:rPr>
      </w:pPr>
      <w:r>
        <w:rPr>
          <w:rStyle w:val="FootnoteReference"/>
        </w:rPr>
        <w:footnoteRef/>
      </w:r>
      <w:r>
        <w:t xml:space="preserve"> </w:t>
      </w:r>
      <w:r>
        <w:tab/>
        <w:t xml:space="preserve">Cabinet Office. </w:t>
      </w:r>
      <w:r>
        <w:rPr>
          <w:i/>
          <w:iCs/>
        </w:rPr>
        <w:t xml:space="preserve">Cabinet Manual 2017 </w:t>
      </w:r>
      <w:r>
        <w:t>at paragraphs 4.81, 4.83 and 4.85.</w:t>
      </w:r>
      <w:r>
        <w:rPr>
          <w:i/>
          <w:iCs/>
        </w:rPr>
        <w:t xml:space="preserve"> </w:t>
      </w:r>
      <w:r>
        <w:t xml:space="preserve"> </w:t>
      </w:r>
    </w:p>
  </w:footnote>
  <w:footnote w:id="5">
    <w:p w:rsidR="003B7727" w:rsidRDefault="003B7727">
      <w:pPr>
        <w:pStyle w:val="FootnoteText"/>
      </w:pPr>
      <w:r>
        <w:rPr>
          <w:rStyle w:val="FootnoteReference"/>
        </w:rPr>
        <w:footnoteRef/>
      </w:r>
      <w:r>
        <w:t xml:space="preserve"> </w:t>
      </w:r>
      <w:r>
        <w:tab/>
        <w:t xml:space="preserve">Public inquiries are established by, and report back to, the Governor-General, after which the report is tabled in Parliament (see </w:t>
      </w:r>
      <w:r w:rsidRPr="00F46123">
        <w:rPr>
          <w:rStyle w:val="HyperlinkSourceTextReference"/>
        </w:rPr>
        <w:t xml:space="preserve">ss </w:t>
      </w:r>
      <w:hyperlink r:id="rId2" w:history="1">
        <w:r w:rsidRPr="00245552">
          <w:rPr>
            <w:rStyle w:val="Hyperlink"/>
          </w:rPr>
          <w:t>6(2)</w:t>
        </w:r>
      </w:hyperlink>
      <w:r>
        <w:t xml:space="preserve">, </w:t>
      </w:r>
      <w:hyperlink r:id="rId3" w:history="1">
        <w:r w:rsidRPr="00245552">
          <w:rPr>
            <w:rStyle w:val="Hyperlink"/>
          </w:rPr>
          <w:t>12(1)(a)</w:t>
        </w:r>
      </w:hyperlink>
      <w:r>
        <w:t xml:space="preserve"> and </w:t>
      </w:r>
      <w:hyperlink r:id="rId4" w:history="1">
        <w:r w:rsidRPr="00245552">
          <w:rPr>
            <w:rStyle w:val="Hyperlink"/>
          </w:rPr>
          <w:t>12(3)</w:t>
        </w:r>
      </w:hyperlink>
      <w:r>
        <w:t xml:space="preserve"> Inquiries Act). Government inquiries are established by, and report back to, the relevant Minister(s) (see </w:t>
      </w:r>
      <w:r w:rsidRPr="00F46123">
        <w:rPr>
          <w:rStyle w:val="HyperlinkSourceTextReference"/>
        </w:rPr>
        <w:t xml:space="preserve">ss </w:t>
      </w:r>
      <w:hyperlink r:id="rId5" w:history="1">
        <w:r w:rsidRPr="003C1245">
          <w:rPr>
            <w:rStyle w:val="Hyperlink"/>
          </w:rPr>
          <w:t>6(3)</w:t>
        </w:r>
      </w:hyperlink>
      <w:r>
        <w:t xml:space="preserve"> and </w:t>
      </w:r>
      <w:hyperlink r:id="rId6" w:history="1">
        <w:r w:rsidRPr="00245552">
          <w:rPr>
            <w:rStyle w:val="Hyperlink"/>
          </w:rPr>
          <w:t>12(1)(b)</w:t>
        </w:r>
      </w:hyperlink>
      <w:r>
        <w:t xml:space="preserve"> Inquiries Act). </w:t>
      </w:r>
    </w:p>
  </w:footnote>
  <w:footnote w:id="6">
    <w:p w:rsidR="003B7727" w:rsidRDefault="003B7727">
      <w:pPr>
        <w:pStyle w:val="FootnoteText"/>
      </w:pPr>
      <w:r>
        <w:rPr>
          <w:rStyle w:val="FootnoteReference"/>
        </w:rPr>
        <w:footnoteRef/>
      </w:r>
      <w:r>
        <w:t xml:space="preserve"> </w:t>
      </w:r>
      <w:r>
        <w:tab/>
        <w:t xml:space="preserve">See s </w:t>
      </w:r>
      <w:hyperlink r:id="rId7" w:history="1">
        <w:r w:rsidRPr="003C1245">
          <w:rPr>
            <w:rStyle w:val="Hyperlink"/>
          </w:rPr>
          <w:t>3(1)</w:t>
        </w:r>
      </w:hyperlink>
      <w:r>
        <w:t xml:space="preserve"> Inquiries Act.</w:t>
      </w:r>
    </w:p>
  </w:footnote>
  <w:footnote w:id="7">
    <w:p w:rsidR="003B7727" w:rsidRDefault="003B7727">
      <w:pPr>
        <w:pStyle w:val="FootnoteText"/>
      </w:pPr>
      <w:r>
        <w:rPr>
          <w:rStyle w:val="FootnoteReference"/>
        </w:rPr>
        <w:footnoteRef/>
      </w:r>
      <w:r>
        <w:t xml:space="preserve"> </w:t>
      </w:r>
      <w:r>
        <w:tab/>
        <w:t xml:space="preserve">See </w:t>
      </w:r>
      <w:hyperlink r:id="rId8" w:history="1">
        <w:r w:rsidRPr="00F46123">
          <w:rPr>
            <w:rStyle w:val="Hyperlink"/>
          </w:rPr>
          <w:t>s 11</w:t>
        </w:r>
      </w:hyperlink>
      <w:r>
        <w:t xml:space="preserve"> Inquiries Act.</w:t>
      </w:r>
    </w:p>
  </w:footnote>
  <w:footnote w:id="8">
    <w:p w:rsidR="003B7727" w:rsidRDefault="003B7727">
      <w:pPr>
        <w:pStyle w:val="FootnoteText"/>
      </w:pPr>
      <w:r>
        <w:rPr>
          <w:rStyle w:val="FootnoteReference"/>
        </w:rPr>
        <w:footnoteRef/>
      </w:r>
      <w:r>
        <w:t xml:space="preserve"> </w:t>
      </w:r>
      <w:r>
        <w:tab/>
        <w:t xml:space="preserve">See </w:t>
      </w:r>
      <w:hyperlink r:id="rId9" w:history="1">
        <w:r w:rsidRPr="0006452D">
          <w:rPr>
            <w:rStyle w:val="Hyperlink"/>
          </w:rPr>
          <w:t>s 14</w:t>
        </w:r>
      </w:hyperlink>
      <w:r>
        <w:t xml:space="preserve"> Inquiries Act.</w:t>
      </w:r>
    </w:p>
  </w:footnote>
  <w:footnote w:id="9">
    <w:p w:rsidR="003B7727" w:rsidRDefault="003B7727">
      <w:pPr>
        <w:pStyle w:val="FootnoteText"/>
      </w:pPr>
      <w:r>
        <w:rPr>
          <w:rStyle w:val="FootnoteReference"/>
        </w:rPr>
        <w:footnoteRef/>
      </w:r>
      <w:r>
        <w:t xml:space="preserve"> </w:t>
      </w:r>
      <w:r>
        <w:tab/>
        <w:t xml:space="preserve">See </w:t>
      </w:r>
      <w:hyperlink r:id="rId10" w:history="1">
        <w:r w:rsidRPr="00370929">
          <w:rPr>
            <w:rStyle w:val="Hyperlink"/>
          </w:rPr>
          <w:t>s 14(4)</w:t>
        </w:r>
      </w:hyperlink>
      <w:r>
        <w:t xml:space="preserve"> Inquiries Act.</w:t>
      </w:r>
    </w:p>
  </w:footnote>
  <w:footnote w:id="10">
    <w:p w:rsidR="003B7727" w:rsidRDefault="003B7727">
      <w:pPr>
        <w:pStyle w:val="FootnoteText"/>
      </w:pPr>
      <w:r>
        <w:rPr>
          <w:rStyle w:val="FootnoteReference"/>
        </w:rPr>
        <w:footnoteRef/>
      </w:r>
      <w:r>
        <w:t xml:space="preserve"> </w:t>
      </w:r>
      <w:r>
        <w:tab/>
        <w:t xml:space="preserve">See </w:t>
      </w:r>
      <w:hyperlink r:id="rId11" w:history="1">
        <w:r w:rsidRPr="0094410D">
          <w:rPr>
            <w:rStyle w:val="Hyperlink"/>
          </w:rPr>
          <w:t>s 15(1)</w:t>
        </w:r>
      </w:hyperlink>
      <w:r>
        <w:t xml:space="preserve"> Inquiries Act.</w:t>
      </w:r>
    </w:p>
  </w:footnote>
  <w:footnote w:id="11">
    <w:p w:rsidR="003B7727" w:rsidRDefault="003B7727">
      <w:pPr>
        <w:pStyle w:val="FootnoteText"/>
      </w:pPr>
      <w:r>
        <w:rPr>
          <w:rStyle w:val="FootnoteReference"/>
        </w:rPr>
        <w:footnoteRef/>
      </w:r>
      <w:r>
        <w:t xml:space="preserve"> </w:t>
      </w:r>
      <w:r>
        <w:tab/>
        <w:t xml:space="preserve">See </w:t>
      </w:r>
      <w:hyperlink r:id="rId12" w:history="1">
        <w:r w:rsidRPr="0094410D">
          <w:rPr>
            <w:rStyle w:val="Hyperlink"/>
          </w:rPr>
          <w:t>s 15(2)</w:t>
        </w:r>
      </w:hyperlink>
      <w:r>
        <w:t xml:space="preserve"> Inquiries Act.</w:t>
      </w:r>
    </w:p>
  </w:footnote>
  <w:footnote w:id="12">
    <w:p w:rsidR="003B7727" w:rsidRDefault="003B7727">
      <w:pPr>
        <w:pStyle w:val="FootnoteText"/>
      </w:pPr>
      <w:r>
        <w:rPr>
          <w:rStyle w:val="FootnoteReference"/>
        </w:rPr>
        <w:footnoteRef/>
      </w:r>
      <w:r>
        <w:t xml:space="preserve"> </w:t>
      </w:r>
      <w:r>
        <w:tab/>
        <w:t xml:space="preserve">See </w:t>
      </w:r>
      <w:hyperlink r:id="rId13" w:history="1">
        <w:r w:rsidRPr="007918D6">
          <w:rPr>
            <w:rStyle w:val="Hyperlink"/>
          </w:rPr>
          <w:t>s 29</w:t>
        </w:r>
      </w:hyperlink>
      <w:r>
        <w:t xml:space="preserve"> Inquiries Act.</w:t>
      </w:r>
    </w:p>
  </w:footnote>
  <w:footnote w:id="13">
    <w:p w:rsidR="003B7727" w:rsidRDefault="003B7727">
      <w:pPr>
        <w:pStyle w:val="FootnoteText"/>
      </w:pPr>
      <w:r>
        <w:rPr>
          <w:rStyle w:val="FootnoteReference"/>
        </w:rPr>
        <w:footnoteRef/>
      </w:r>
      <w:r>
        <w:t xml:space="preserve"> </w:t>
      </w:r>
      <w:r>
        <w:tab/>
        <w:t xml:space="preserve">See </w:t>
      </w:r>
      <w:hyperlink r:id="rId14" w:history="1">
        <w:r w:rsidRPr="007918D6">
          <w:rPr>
            <w:rStyle w:val="Hyperlink"/>
          </w:rPr>
          <w:t>s 22</w:t>
        </w:r>
      </w:hyperlink>
      <w:r>
        <w:t xml:space="preserve"> Inquiries Act.</w:t>
      </w:r>
    </w:p>
  </w:footnote>
  <w:footnote w:id="14">
    <w:p w:rsidR="003B7727" w:rsidRDefault="003B7727">
      <w:pPr>
        <w:pStyle w:val="FootnoteText"/>
      </w:pPr>
      <w:r>
        <w:rPr>
          <w:rStyle w:val="FootnoteReference"/>
        </w:rPr>
        <w:footnoteRef/>
      </w:r>
      <w:r>
        <w:t xml:space="preserve"> </w:t>
      </w:r>
      <w:r>
        <w:tab/>
        <w:t xml:space="preserve">See </w:t>
      </w:r>
      <w:hyperlink r:id="rId15" w:history="1">
        <w:r w:rsidRPr="006D34DC">
          <w:rPr>
            <w:rStyle w:val="Hyperlink"/>
          </w:rPr>
          <w:t>s 7</w:t>
        </w:r>
      </w:hyperlink>
      <w:r>
        <w:t xml:space="preserve"> Interpretation Act 1999.</w:t>
      </w:r>
    </w:p>
  </w:footnote>
  <w:footnote w:id="15">
    <w:p w:rsidR="003B7727" w:rsidRDefault="003B7727">
      <w:pPr>
        <w:pStyle w:val="FootnoteText"/>
      </w:pPr>
      <w:r>
        <w:rPr>
          <w:rStyle w:val="FootnoteReference"/>
        </w:rPr>
        <w:footnoteRef/>
      </w:r>
      <w:r>
        <w:t xml:space="preserve"> </w:t>
      </w:r>
      <w:r>
        <w:tab/>
        <w:t xml:space="preserve">See </w:t>
      </w:r>
      <w:hyperlink r:id="rId16" w:history="1">
        <w:r w:rsidRPr="006D34DC">
          <w:rPr>
            <w:rStyle w:val="Hyperlink"/>
          </w:rPr>
          <w:t>ss 9A</w:t>
        </w:r>
      </w:hyperlink>
      <w:r>
        <w:t xml:space="preserve"> and </w:t>
      </w:r>
      <w:hyperlink r:id="rId17" w:history="1">
        <w:r w:rsidRPr="006D34DC">
          <w:rPr>
            <w:rStyle w:val="Hyperlink"/>
          </w:rPr>
          <w:t>9B</w:t>
        </w:r>
      </w:hyperlink>
      <w:r>
        <w:t xml:space="preserve"> State Sector Act.</w:t>
      </w:r>
    </w:p>
  </w:footnote>
  <w:footnote w:id="16">
    <w:p w:rsidR="003B7727" w:rsidRDefault="003B7727">
      <w:pPr>
        <w:pStyle w:val="FootnoteText"/>
      </w:pPr>
      <w:r>
        <w:rPr>
          <w:rStyle w:val="FootnoteReference"/>
        </w:rPr>
        <w:footnoteRef/>
      </w:r>
      <w:r>
        <w:t xml:space="preserve"> </w:t>
      </w:r>
      <w:r>
        <w:tab/>
        <w:t xml:space="preserve">See </w:t>
      </w:r>
      <w:hyperlink r:id="rId18" w:history="1">
        <w:r w:rsidRPr="00551776">
          <w:rPr>
            <w:rStyle w:val="Hyperlink"/>
          </w:rPr>
          <w:t>s 2(6)(ea)</w:t>
        </w:r>
      </w:hyperlink>
      <w:r>
        <w:t xml:space="preserve"> OIA.</w:t>
      </w:r>
    </w:p>
  </w:footnote>
  <w:footnote w:id="17">
    <w:p w:rsidR="003B7727" w:rsidRDefault="003B7727">
      <w:pPr>
        <w:pStyle w:val="FootnoteText"/>
      </w:pPr>
      <w:r>
        <w:rPr>
          <w:rStyle w:val="FootnoteReference"/>
        </w:rPr>
        <w:footnoteRef/>
      </w:r>
      <w:r>
        <w:t xml:space="preserve"> </w:t>
      </w:r>
      <w:r>
        <w:tab/>
        <w:t xml:space="preserve">See </w:t>
      </w:r>
      <w:hyperlink r:id="rId19" w:history="1">
        <w:r w:rsidRPr="005D31FC">
          <w:rPr>
            <w:rStyle w:val="Hyperlink"/>
          </w:rPr>
          <w:t>s 32</w:t>
        </w:r>
      </w:hyperlink>
      <w:r>
        <w:t xml:space="preserve"> Inquiries Act.</w:t>
      </w:r>
    </w:p>
  </w:footnote>
  <w:footnote w:id="18">
    <w:p w:rsidR="003B7727" w:rsidRDefault="003B7727">
      <w:pPr>
        <w:pStyle w:val="FootnoteText"/>
      </w:pPr>
      <w:r>
        <w:rPr>
          <w:rStyle w:val="FootnoteReference"/>
        </w:rPr>
        <w:footnoteRef/>
      </w:r>
      <w:r>
        <w:t xml:space="preserve"> </w:t>
      </w:r>
      <w:r>
        <w:tab/>
        <w:t xml:space="preserve">See </w:t>
      </w:r>
      <w:hyperlink r:id="rId20" w:history="1">
        <w:r w:rsidRPr="00084FD2">
          <w:rPr>
            <w:rStyle w:val="Hyperlink"/>
          </w:rPr>
          <w:t>s 33(2)</w:t>
        </w:r>
      </w:hyperlink>
      <w:r>
        <w:t xml:space="preserve"> Inquiries Act.</w:t>
      </w:r>
    </w:p>
  </w:footnote>
  <w:footnote w:id="19">
    <w:p w:rsidR="003B7727" w:rsidRDefault="003B7727">
      <w:pPr>
        <w:pStyle w:val="FootnoteText"/>
      </w:pPr>
      <w:r>
        <w:rPr>
          <w:rStyle w:val="FootnoteReference"/>
        </w:rPr>
        <w:footnoteRef/>
      </w:r>
      <w:r>
        <w:t xml:space="preserve"> </w:t>
      </w:r>
      <w:r>
        <w:tab/>
        <w:t xml:space="preserve">See </w:t>
      </w:r>
      <w:hyperlink r:id="rId21" w:history="1">
        <w:r w:rsidRPr="00084FD2">
          <w:rPr>
            <w:rStyle w:val="Hyperlink"/>
          </w:rPr>
          <w:t>s 14(b)(ii)</w:t>
        </w:r>
      </w:hyperlink>
      <w:r>
        <w:t xml:space="preserve"> OIA.</w:t>
      </w:r>
    </w:p>
  </w:footnote>
  <w:footnote w:id="20">
    <w:p w:rsidR="003B7727" w:rsidRDefault="003B7727">
      <w:pPr>
        <w:pStyle w:val="FootnoteText"/>
      </w:pPr>
      <w:r>
        <w:rPr>
          <w:rStyle w:val="FootnoteReference"/>
        </w:rPr>
        <w:footnoteRef/>
      </w:r>
      <w:r>
        <w:t xml:space="preserve"> </w:t>
      </w:r>
      <w:r>
        <w:tab/>
        <w:t xml:space="preserve">See </w:t>
      </w:r>
      <w:hyperlink r:id="rId22" w:history="1">
        <w:r w:rsidRPr="00084FD2">
          <w:rPr>
            <w:rStyle w:val="Hyperlink"/>
          </w:rPr>
          <w:t>s 43(1)</w:t>
        </w:r>
      </w:hyperlink>
      <w:r>
        <w:t xml:space="preserve"> Public Records Act 2005.</w:t>
      </w:r>
    </w:p>
  </w:footnote>
  <w:footnote w:id="21">
    <w:p w:rsidR="003B7727" w:rsidRDefault="003B7727">
      <w:pPr>
        <w:pStyle w:val="FootnoteText"/>
      </w:pPr>
      <w:r>
        <w:rPr>
          <w:rStyle w:val="FootnoteReference"/>
        </w:rPr>
        <w:footnoteRef/>
      </w:r>
      <w:r>
        <w:t xml:space="preserve"> </w:t>
      </w:r>
      <w:r>
        <w:tab/>
        <w:t xml:space="preserve">See </w:t>
      </w:r>
      <w:hyperlink r:id="rId23" w:history="1">
        <w:r w:rsidRPr="00084FD2">
          <w:rPr>
            <w:rStyle w:val="Hyperlink"/>
          </w:rPr>
          <w:t>s 33(4)</w:t>
        </w:r>
      </w:hyperlink>
      <w:r>
        <w:t xml:space="preserve"> Inquiries Act.</w:t>
      </w:r>
    </w:p>
  </w:footnote>
  <w:footnote w:id="22">
    <w:p w:rsidR="003B7727" w:rsidRDefault="003B7727">
      <w:pPr>
        <w:pStyle w:val="FootnoteText"/>
      </w:pPr>
      <w:r>
        <w:rPr>
          <w:rStyle w:val="FootnoteReference"/>
        </w:rPr>
        <w:footnoteRef/>
      </w:r>
      <w:r>
        <w:t xml:space="preserve"> </w:t>
      </w:r>
      <w:r>
        <w:tab/>
        <w:t xml:space="preserve">See </w:t>
      </w:r>
      <w:hyperlink r:id="rId24" w:history="1">
        <w:r w:rsidRPr="00084FD2">
          <w:rPr>
            <w:rStyle w:val="Hyperlink"/>
          </w:rPr>
          <w:t>s 47</w:t>
        </w:r>
      </w:hyperlink>
      <w:r>
        <w:t xml:space="preserve"> Public Records Act.</w:t>
      </w:r>
    </w:p>
  </w:footnote>
  <w:footnote w:id="23">
    <w:p w:rsidR="003B7727" w:rsidRDefault="003B7727">
      <w:pPr>
        <w:pStyle w:val="FootnoteText"/>
      </w:pPr>
      <w:r>
        <w:rPr>
          <w:rStyle w:val="FootnoteReference"/>
        </w:rPr>
        <w:footnoteRef/>
      </w:r>
      <w:r>
        <w:t xml:space="preserve"> </w:t>
      </w:r>
      <w:r>
        <w:tab/>
        <w:t xml:space="preserve">See our </w:t>
      </w:r>
      <w:hyperlink r:id="rId25" w:history="1">
        <w:r w:rsidRPr="00F626CE">
          <w:rPr>
            <w:rStyle w:val="Hyperlink"/>
            <w:i/>
          </w:rPr>
          <w:t>Publicly available information</w:t>
        </w:r>
      </w:hyperlink>
      <w:r>
        <w:t xml:space="preserve"> guide for more on this.</w:t>
      </w:r>
    </w:p>
  </w:footnote>
  <w:footnote w:id="24">
    <w:p w:rsidR="003B7727" w:rsidRDefault="003B7727">
      <w:pPr>
        <w:pStyle w:val="FootnoteText"/>
      </w:pPr>
      <w:r>
        <w:rPr>
          <w:rStyle w:val="FootnoteReference"/>
        </w:rPr>
        <w:footnoteRef/>
      </w:r>
      <w:r>
        <w:t xml:space="preserve"> </w:t>
      </w:r>
      <w:r>
        <w:tab/>
        <w:t xml:space="preserve">See </w:t>
      </w:r>
      <w:hyperlink r:id="rId26" w:history="1">
        <w:r w:rsidRPr="00222BC4">
          <w:rPr>
            <w:rStyle w:val="Hyperlink"/>
          </w:rPr>
          <w:t>s 44(3)</w:t>
        </w:r>
      </w:hyperlink>
      <w:r>
        <w:t xml:space="preserve"> Public Records Act.</w:t>
      </w:r>
    </w:p>
  </w:footnote>
  <w:footnote w:id="25">
    <w:p w:rsidR="003B7727" w:rsidRDefault="003B7727" w:rsidP="008D3DAA">
      <w:pPr>
        <w:pStyle w:val="FootnoteText"/>
      </w:pPr>
      <w:r>
        <w:rPr>
          <w:rStyle w:val="FootnoteReference"/>
        </w:rPr>
        <w:footnoteRef/>
      </w:r>
      <w:r>
        <w:t xml:space="preserve"> </w:t>
      </w:r>
      <w:r>
        <w:tab/>
        <w:t xml:space="preserve">See </w:t>
      </w:r>
      <w:hyperlink r:id="rId27" w:history="1">
        <w:r w:rsidRPr="001E4DB5">
          <w:rPr>
            <w:rStyle w:val="Hyperlink"/>
          </w:rPr>
          <w:t>s 44(8)</w:t>
        </w:r>
      </w:hyperlink>
      <w:r>
        <w:t xml:space="preserve"> Public Records Act.</w:t>
      </w:r>
    </w:p>
  </w:footnote>
  <w:footnote w:id="26">
    <w:p w:rsidR="003B7727" w:rsidRDefault="003B7727" w:rsidP="005F4FE3">
      <w:pPr>
        <w:pStyle w:val="FootnoteText"/>
      </w:pPr>
      <w:r>
        <w:rPr>
          <w:rStyle w:val="FootnoteReference"/>
        </w:rPr>
        <w:footnoteRef/>
      </w:r>
      <w:r>
        <w:t xml:space="preserve"> </w:t>
      </w:r>
      <w:r>
        <w:tab/>
        <w:t xml:space="preserve">See </w:t>
      </w:r>
      <w:hyperlink r:id="rId28" w:history="1">
        <w:r w:rsidRPr="00084FD2">
          <w:rPr>
            <w:rStyle w:val="Hyperlink"/>
          </w:rPr>
          <w:t>s 14(b)(ii)</w:t>
        </w:r>
      </w:hyperlink>
      <w:r>
        <w:t xml:space="preserve"> OIA.</w:t>
      </w:r>
    </w:p>
  </w:footnote>
  <w:footnote w:id="27">
    <w:p w:rsidR="003B7727" w:rsidRDefault="003B7727">
      <w:pPr>
        <w:pStyle w:val="FootnoteText"/>
      </w:pPr>
      <w:r>
        <w:rPr>
          <w:rStyle w:val="FootnoteReference"/>
        </w:rPr>
        <w:footnoteRef/>
      </w:r>
      <w:r>
        <w:t xml:space="preserve"> </w:t>
      </w:r>
      <w:r>
        <w:tab/>
        <w:t xml:space="preserve">See </w:t>
      </w:r>
      <w:hyperlink r:id="rId29" w:history="1">
        <w:r w:rsidRPr="00920231">
          <w:rPr>
            <w:rStyle w:val="Hyperlink"/>
          </w:rPr>
          <w:t>s 2(1)</w:t>
        </w:r>
      </w:hyperlink>
      <w:r>
        <w:t xml:space="preserve"> OIA.</w:t>
      </w:r>
    </w:p>
  </w:footnote>
  <w:footnote w:id="28">
    <w:p w:rsidR="003B7727" w:rsidRDefault="003B7727">
      <w:pPr>
        <w:pStyle w:val="FootnoteText"/>
      </w:pPr>
      <w:r>
        <w:rPr>
          <w:rStyle w:val="FootnoteReference"/>
        </w:rPr>
        <w:footnoteRef/>
      </w:r>
      <w:r>
        <w:t xml:space="preserve"> </w:t>
      </w:r>
      <w:r>
        <w:tab/>
        <w:t xml:space="preserve">See s </w:t>
      </w:r>
      <w:hyperlink r:id="rId30" w:history="1">
        <w:r w:rsidRPr="0050542E">
          <w:rPr>
            <w:rStyle w:val="Hyperlink"/>
          </w:rPr>
          <w:t>15(2)</w:t>
        </w:r>
      </w:hyperlink>
      <w:r>
        <w:t xml:space="preserve"> Inquiries Act.</w:t>
      </w:r>
    </w:p>
  </w:footnote>
  <w:footnote w:id="29">
    <w:p w:rsidR="003B7727" w:rsidRDefault="003B7727">
      <w:pPr>
        <w:pStyle w:val="FootnoteText"/>
      </w:pPr>
      <w:r>
        <w:rPr>
          <w:rStyle w:val="FootnoteReference"/>
        </w:rPr>
        <w:footnoteRef/>
      </w:r>
      <w:r>
        <w:t xml:space="preserve"> </w:t>
      </w:r>
      <w:r>
        <w:tab/>
      </w:r>
      <w:r w:rsidRPr="00C45105">
        <w:t>Minute 2: Evidence and Submissi</w:t>
      </w:r>
      <w:r>
        <w:t>ons from State Sector Agencies—</w:t>
      </w:r>
      <w:r w:rsidRPr="00C45105">
        <w:t>Orders under Section 15 of the Inquiries Act 2013</w:t>
      </w:r>
      <w:r>
        <w:t xml:space="preserve">, accessed at </w:t>
      </w:r>
      <w:hyperlink r:id="rId31" w:history="1">
        <w:r>
          <w:rPr>
            <w:rStyle w:val="Hyperlink"/>
          </w:rPr>
          <w:t>https://christchurchattack.royalcommission.nz/updates/</w:t>
        </w:r>
      </w:hyperlink>
      <w:r>
        <w:t>, 12 August 2020.</w:t>
      </w:r>
    </w:p>
  </w:footnote>
  <w:footnote w:id="30">
    <w:p w:rsidR="003B7727" w:rsidRDefault="003B7727" w:rsidP="002A5EE1">
      <w:pPr>
        <w:pStyle w:val="FootnoteText"/>
      </w:pPr>
      <w:r>
        <w:rPr>
          <w:rStyle w:val="FootnoteReference"/>
        </w:rPr>
        <w:footnoteRef/>
      </w:r>
      <w:r>
        <w:t xml:space="preserve"> </w:t>
      </w:r>
      <w:r>
        <w:tab/>
        <w:t xml:space="preserve">See </w:t>
      </w:r>
      <w:hyperlink r:id="rId32" w:history="1">
        <w:r w:rsidRPr="006D34DC">
          <w:rPr>
            <w:rStyle w:val="Hyperlink"/>
          </w:rPr>
          <w:t>s 7</w:t>
        </w:r>
      </w:hyperlink>
      <w:r>
        <w:t xml:space="preserve"> Interpretation Act 1999.</w:t>
      </w:r>
    </w:p>
  </w:footnote>
  <w:footnote w:id="31">
    <w:p w:rsidR="003B7727" w:rsidRDefault="003B7727" w:rsidP="004F1550">
      <w:pPr>
        <w:pStyle w:val="FootnoteText"/>
      </w:pPr>
      <w:r>
        <w:rPr>
          <w:rStyle w:val="FootnoteReference"/>
        </w:rPr>
        <w:footnoteRef/>
      </w:r>
      <w:r>
        <w:t xml:space="preserve"> </w:t>
      </w:r>
      <w:r>
        <w:tab/>
        <w:t xml:space="preserve">See </w:t>
      </w:r>
      <w:r w:rsidRPr="00EB0829">
        <w:rPr>
          <w:rStyle w:val="Italics"/>
        </w:rPr>
        <w:t>Kelsey v the Minister of Trade</w:t>
      </w:r>
      <w:r>
        <w:t xml:space="preserve"> [2015] NZHC 2497 at paragraph 108, and </w:t>
      </w:r>
      <w:hyperlink r:id="rId33" w:history="1">
        <w:r w:rsidRPr="00751702">
          <w:rPr>
            <w:rStyle w:val="Hyperlink"/>
          </w:rPr>
          <w:t>481126</w:t>
        </w:r>
      </w:hyperlink>
      <w:r>
        <w:t>.</w:t>
      </w:r>
    </w:p>
  </w:footnote>
  <w:footnote w:id="32">
    <w:p w:rsidR="003B7727" w:rsidRDefault="003B7727" w:rsidP="009D6C60">
      <w:pPr>
        <w:pStyle w:val="FootnoteText"/>
      </w:pPr>
      <w:r>
        <w:rPr>
          <w:rStyle w:val="FootnoteReference"/>
        </w:rPr>
        <w:footnoteRef/>
      </w:r>
      <w:r>
        <w:t xml:space="preserve"> </w:t>
      </w:r>
      <w:r>
        <w:tab/>
      </w:r>
      <w:r>
        <w:rPr>
          <w:i/>
          <w:iCs/>
        </w:rPr>
        <w:t xml:space="preserve">Commissioner of Police v Ombudsman </w:t>
      </w:r>
      <w:r>
        <w:t xml:space="preserve">[1988] 1 NZLR 385 at 391.  </w:t>
      </w:r>
    </w:p>
  </w:footnote>
  <w:footnote w:id="33">
    <w:p w:rsidR="003B7727" w:rsidRDefault="003B7727" w:rsidP="00EF5A18">
      <w:pPr>
        <w:pStyle w:val="FootnoteText"/>
      </w:pPr>
      <w:r>
        <w:rPr>
          <w:rStyle w:val="FootnoteReference"/>
        </w:rPr>
        <w:footnoteRef/>
      </w:r>
      <w:r>
        <w:t xml:space="preserve"> </w:t>
      </w:r>
      <w:r>
        <w:tab/>
        <w:t xml:space="preserve">See </w:t>
      </w:r>
      <w:hyperlink r:id="rId34" w:history="1">
        <w:r w:rsidRPr="00D3459C">
          <w:rPr>
            <w:rStyle w:val="Hyperlink"/>
          </w:rPr>
          <w:t>s 15(1)(b)</w:t>
        </w:r>
      </w:hyperlink>
      <w:r>
        <w:t xml:space="preserve"> Inquiries Act.</w:t>
      </w:r>
    </w:p>
  </w:footnote>
  <w:footnote w:id="34">
    <w:p w:rsidR="003B7727" w:rsidRDefault="003B7727">
      <w:pPr>
        <w:pStyle w:val="FootnoteText"/>
      </w:pPr>
      <w:r>
        <w:rPr>
          <w:rStyle w:val="FootnoteReference"/>
        </w:rPr>
        <w:footnoteRef/>
      </w:r>
      <w:r>
        <w:t xml:space="preserve"> </w:t>
      </w:r>
      <w:r>
        <w:tab/>
        <w:t xml:space="preserve">See </w:t>
      </w:r>
      <w:hyperlink r:id="rId35" w:history="1">
        <w:r w:rsidRPr="00D3459C">
          <w:rPr>
            <w:rStyle w:val="Hyperlink"/>
          </w:rPr>
          <w:t>s 15(1)(c)</w:t>
        </w:r>
      </w:hyperlink>
      <w:r>
        <w:t xml:space="preserve"> Inquiries Act.</w:t>
      </w:r>
    </w:p>
  </w:footnote>
  <w:footnote w:id="35">
    <w:p w:rsidR="003B7727" w:rsidRDefault="003B7727">
      <w:pPr>
        <w:pStyle w:val="FootnoteText"/>
      </w:pPr>
      <w:r>
        <w:rPr>
          <w:rStyle w:val="FootnoteReference"/>
        </w:rPr>
        <w:footnoteRef/>
      </w:r>
      <w:r>
        <w:t xml:space="preserve"> </w:t>
      </w:r>
      <w:r>
        <w:tab/>
        <w:t xml:space="preserve">See </w:t>
      </w:r>
      <w:hyperlink r:id="rId36" w:history="1">
        <w:r w:rsidRPr="007253B7">
          <w:rPr>
            <w:rStyle w:val="Hyperlink"/>
          </w:rPr>
          <w:t>s 22</w:t>
        </w:r>
      </w:hyperlink>
      <w:r>
        <w:t xml:space="preserve"> Inquiries Act.</w:t>
      </w:r>
    </w:p>
  </w:footnote>
  <w:footnote w:id="36">
    <w:p w:rsidR="003B7727" w:rsidRDefault="003B7727">
      <w:pPr>
        <w:pStyle w:val="FootnoteText"/>
      </w:pPr>
      <w:r>
        <w:rPr>
          <w:rStyle w:val="FootnoteReference"/>
        </w:rPr>
        <w:footnoteRef/>
      </w:r>
      <w:r>
        <w:t xml:space="preserve"> </w:t>
      </w:r>
      <w:r>
        <w:tab/>
        <w:t xml:space="preserve">See </w:t>
      </w:r>
      <w:hyperlink r:id="rId37" w:history="1">
        <w:r w:rsidRPr="007253B7">
          <w:rPr>
            <w:rStyle w:val="Hyperlink"/>
          </w:rPr>
          <w:t>s 29(1)(e)</w:t>
        </w:r>
      </w:hyperlink>
      <w:r>
        <w:t xml:space="preserve"> Inquiries Act.</w:t>
      </w:r>
    </w:p>
  </w:footnote>
  <w:footnote w:id="37">
    <w:p w:rsidR="003B7727" w:rsidRDefault="003B7727">
      <w:pPr>
        <w:pStyle w:val="FootnoteText"/>
      </w:pPr>
      <w:r>
        <w:rPr>
          <w:rStyle w:val="FootnoteReference"/>
        </w:rPr>
        <w:footnoteRef/>
      </w:r>
      <w:r>
        <w:t xml:space="preserve"> </w:t>
      </w:r>
      <w:r>
        <w:tab/>
      </w:r>
      <w:r w:rsidRPr="00944EA8">
        <w:rPr>
          <w:i/>
        </w:rPr>
        <w:t>In re the Royal Commission to Inquire into and Report upon State Services in New Zealand</w:t>
      </w:r>
      <w:r>
        <w:t xml:space="preserve"> [1962] NZLR 96 at 109. Contempt of an inquiry is dealt with under </w:t>
      </w:r>
      <w:hyperlink r:id="rId38" w:history="1">
        <w:r w:rsidRPr="00F1591F">
          <w:rPr>
            <w:rStyle w:val="Hyperlink"/>
          </w:rPr>
          <w:t>s 31</w:t>
        </w:r>
      </w:hyperlink>
      <w:r>
        <w:t xml:space="preserve"> Inquiries Act.</w:t>
      </w:r>
    </w:p>
  </w:footnote>
  <w:footnote w:id="38">
    <w:p w:rsidR="003B7727" w:rsidRDefault="003B7727">
      <w:pPr>
        <w:pStyle w:val="FootnoteText"/>
      </w:pPr>
      <w:r>
        <w:rPr>
          <w:rStyle w:val="FootnoteReference"/>
        </w:rPr>
        <w:footnoteRef/>
      </w:r>
      <w:r>
        <w:t xml:space="preserve"> </w:t>
      </w:r>
      <w:r>
        <w:tab/>
        <w:t xml:space="preserve">Law Commission. </w:t>
      </w:r>
      <w:hyperlink r:id="rId39" w:history="1">
        <w:r w:rsidRPr="000B04F1">
          <w:rPr>
            <w:rStyle w:val="Hyperlink"/>
            <w:i/>
            <w:iCs/>
          </w:rPr>
          <w:t>A New Inquiries Act</w:t>
        </w:r>
      </w:hyperlink>
      <w:r>
        <w:rPr>
          <w:i/>
          <w:iCs/>
        </w:rPr>
        <w:t xml:space="preserve">. </w:t>
      </w:r>
      <w:r>
        <w:t>(NZLC R102, 2008) at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Default="003B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Default="003B7727" w:rsidP="00B81F45">
    <w:pPr>
      <w:pStyle w:val="Header"/>
      <w:tabs>
        <w:tab w:val="clear" w:pos="9299"/>
        <w:tab w:val="right" w:pos="9321"/>
      </w:tabs>
      <w:rPr>
        <w:rStyle w:val="PageNumber"/>
      </w:rPr>
    </w:pPr>
    <w:r>
      <w:t xml:space="preserve">Office of the Ombudsman | </w:t>
    </w:r>
    <w:r w:rsidRPr="00DD54DF">
      <w:t>Tari o te Kaitiaki Mana Tangata</w:t>
    </w:r>
  </w:p>
  <w:p w:rsidR="003B7727" w:rsidRPr="00661EC9" w:rsidRDefault="003B7727"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27" w:rsidRPr="0077590F" w:rsidRDefault="003B7727" w:rsidP="0077590F">
    <w:pPr>
      <w:pStyle w:val="BodyText"/>
    </w:pPr>
    <w:bookmarkStart w:id="52" w:name="BG_Colour"/>
    <w:r>
      <w:rPr>
        <w:noProof/>
        <w:lang w:eastAsia="en-NZ"/>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81C38A1"/>
    <w:multiLevelType w:val="hybridMultilevel"/>
    <w:tmpl w:val="B04E2B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1E2654A0"/>
    <w:multiLevelType w:val="hybridMultilevel"/>
    <w:tmpl w:val="AAB4554A"/>
    <w:lvl w:ilvl="0" w:tplc="14AEC18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8D7019"/>
    <w:multiLevelType w:val="hybridMultilevel"/>
    <w:tmpl w:val="AAB4554A"/>
    <w:lvl w:ilvl="0" w:tplc="14AEC18A">
      <w:start w:val="1"/>
      <w:numFmt w:val="lowerRoman"/>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C32322"/>
    <w:multiLevelType w:val="multilevel"/>
    <w:tmpl w:val="6A000688"/>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1"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CF294A"/>
    <w:multiLevelType w:val="hybridMultilevel"/>
    <w:tmpl w:val="AAB4554A"/>
    <w:lvl w:ilvl="0" w:tplc="14AEC18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DE26DF"/>
    <w:multiLevelType w:val="hybridMultilevel"/>
    <w:tmpl w:val="F294E042"/>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abstractNum w:abstractNumId="29" w15:restartNumberingAfterBreak="0">
    <w:nsid w:val="76A26424"/>
    <w:multiLevelType w:val="multilevel"/>
    <w:tmpl w:val="093A5C66"/>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9365F72"/>
    <w:multiLevelType w:val="hybridMultilevel"/>
    <w:tmpl w:val="BD1EB91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1"/>
  </w:num>
  <w:num w:numId="2">
    <w:abstractNumId w:val="3"/>
  </w:num>
  <w:num w:numId="3">
    <w:abstractNumId w:val="13"/>
  </w:num>
  <w:num w:numId="4">
    <w:abstractNumId w:val="2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19"/>
  </w:num>
  <w:num w:numId="9">
    <w:abstractNumId w:val="8"/>
  </w:num>
  <w:num w:numId="10">
    <w:abstractNumId w:val="11"/>
  </w:num>
  <w:num w:numId="11">
    <w:abstractNumId w:val="29"/>
  </w:num>
  <w:num w:numId="12">
    <w:abstractNumId w:val="12"/>
  </w:num>
  <w:num w:numId="13">
    <w:abstractNumId w:val="7"/>
  </w:num>
  <w:num w:numId="14">
    <w:abstractNumId w:val="10"/>
  </w:num>
  <w:num w:numId="15">
    <w:abstractNumId w:val="4"/>
  </w:num>
  <w:num w:numId="16">
    <w:abstractNumId w:val="26"/>
  </w:num>
  <w:num w:numId="17">
    <w:abstractNumId w:val="20"/>
  </w:num>
  <w:num w:numId="18">
    <w:abstractNumId w:val="27"/>
  </w:num>
  <w:num w:numId="19">
    <w:abstractNumId w:val="15"/>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14"/>
  </w:num>
  <w:num w:numId="25">
    <w:abstractNumId w:val="17"/>
  </w:num>
  <w:num w:numId="26">
    <w:abstractNumId w:val="7"/>
  </w:num>
  <w:num w:numId="27">
    <w:abstractNumId w:val="10"/>
  </w:num>
  <w:num w:numId="28">
    <w:abstractNumId w:val="10"/>
  </w:num>
  <w:num w:numId="29">
    <w:abstractNumId w:val="10"/>
  </w:num>
  <w:num w:numId="30">
    <w:abstractNumId w:val="31"/>
  </w:num>
  <w:num w:numId="31">
    <w:abstractNumId w:val="6"/>
  </w:num>
  <w:num w:numId="32">
    <w:abstractNumId w:val="16"/>
  </w:num>
  <w:num w:numId="33">
    <w:abstractNumId w:val="5"/>
  </w:num>
  <w:num w:numId="34">
    <w:abstractNumId w:val="22"/>
  </w:num>
  <w:num w:numId="35">
    <w:abstractNumId w:val="1"/>
  </w:num>
  <w:num w:numId="36">
    <w:abstractNumId w:val="3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9"/>
  </w:num>
  <w:num w:numId="40">
    <w:abstractNumId w:val="18"/>
  </w:num>
  <w:num w:numId="41">
    <w:abstractNumId w:val="2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3"/>
    <w:docVar w:name="ContentsTable" w:val="0"/>
    <w:docVar w:name="dvShortText" w:val="Guide: The OIA and inquiries August 2020 |"/>
    <w:docVar w:name="dvShortTextFrm" w:val="Guide: The OIA and inquiries August 2020"/>
    <w:docVar w:name="IsfirstTb" w:val="False"/>
    <w:docVar w:name="IsInTable" w:val="True"/>
    <w:docVar w:name="OOTOTemplate" w:val="OOTO Strategic Services\Guide.dotm"/>
  </w:docVars>
  <w:rsids>
    <w:rsidRoot w:val="00F80868"/>
    <w:rsid w:val="00000830"/>
    <w:rsid w:val="00000AEE"/>
    <w:rsid w:val="00000FC9"/>
    <w:rsid w:val="0000164C"/>
    <w:rsid w:val="000016D7"/>
    <w:rsid w:val="00002E2B"/>
    <w:rsid w:val="00002E3E"/>
    <w:rsid w:val="000048D2"/>
    <w:rsid w:val="0000771B"/>
    <w:rsid w:val="0001087C"/>
    <w:rsid w:val="00013095"/>
    <w:rsid w:val="00013791"/>
    <w:rsid w:val="000147EC"/>
    <w:rsid w:val="00017E55"/>
    <w:rsid w:val="00020850"/>
    <w:rsid w:val="00021382"/>
    <w:rsid w:val="000235EF"/>
    <w:rsid w:val="00023FF5"/>
    <w:rsid w:val="00024F53"/>
    <w:rsid w:val="00026A3B"/>
    <w:rsid w:val="0002738C"/>
    <w:rsid w:val="000273F0"/>
    <w:rsid w:val="00027F11"/>
    <w:rsid w:val="00030A60"/>
    <w:rsid w:val="000312C1"/>
    <w:rsid w:val="000315C7"/>
    <w:rsid w:val="00031648"/>
    <w:rsid w:val="000328E9"/>
    <w:rsid w:val="00032A75"/>
    <w:rsid w:val="00032CA3"/>
    <w:rsid w:val="000332B6"/>
    <w:rsid w:val="00033346"/>
    <w:rsid w:val="000343EF"/>
    <w:rsid w:val="00035821"/>
    <w:rsid w:val="0003704A"/>
    <w:rsid w:val="000402E7"/>
    <w:rsid w:val="00040F52"/>
    <w:rsid w:val="00041615"/>
    <w:rsid w:val="00041760"/>
    <w:rsid w:val="000419C3"/>
    <w:rsid w:val="00041B4F"/>
    <w:rsid w:val="00045FD7"/>
    <w:rsid w:val="00046B63"/>
    <w:rsid w:val="00047CB7"/>
    <w:rsid w:val="00050123"/>
    <w:rsid w:val="000527EC"/>
    <w:rsid w:val="00053114"/>
    <w:rsid w:val="0005320F"/>
    <w:rsid w:val="00053664"/>
    <w:rsid w:val="00053805"/>
    <w:rsid w:val="00053E3D"/>
    <w:rsid w:val="000548F1"/>
    <w:rsid w:val="00054DDA"/>
    <w:rsid w:val="000571A7"/>
    <w:rsid w:val="00057C4D"/>
    <w:rsid w:val="00057FD6"/>
    <w:rsid w:val="00061113"/>
    <w:rsid w:val="0006120F"/>
    <w:rsid w:val="00062827"/>
    <w:rsid w:val="0006376B"/>
    <w:rsid w:val="00063CAF"/>
    <w:rsid w:val="0006452D"/>
    <w:rsid w:val="00064CFD"/>
    <w:rsid w:val="00065881"/>
    <w:rsid w:val="00066304"/>
    <w:rsid w:val="00066883"/>
    <w:rsid w:val="000702F0"/>
    <w:rsid w:val="000717C2"/>
    <w:rsid w:val="0007209D"/>
    <w:rsid w:val="00072865"/>
    <w:rsid w:val="000737BC"/>
    <w:rsid w:val="000737C4"/>
    <w:rsid w:val="000742E1"/>
    <w:rsid w:val="000754AF"/>
    <w:rsid w:val="0007672E"/>
    <w:rsid w:val="00081373"/>
    <w:rsid w:val="00081A9B"/>
    <w:rsid w:val="000822C8"/>
    <w:rsid w:val="00083D45"/>
    <w:rsid w:val="00084333"/>
    <w:rsid w:val="00084CDC"/>
    <w:rsid w:val="00084D2C"/>
    <w:rsid w:val="00084FC2"/>
    <w:rsid w:val="00084FD2"/>
    <w:rsid w:val="00086FAF"/>
    <w:rsid w:val="000910FC"/>
    <w:rsid w:val="00091A1A"/>
    <w:rsid w:val="00091B7F"/>
    <w:rsid w:val="0009209C"/>
    <w:rsid w:val="000929F9"/>
    <w:rsid w:val="00093309"/>
    <w:rsid w:val="00093C9D"/>
    <w:rsid w:val="00094276"/>
    <w:rsid w:val="00094D5D"/>
    <w:rsid w:val="0009569A"/>
    <w:rsid w:val="00096098"/>
    <w:rsid w:val="000965D2"/>
    <w:rsid w:val="00097211"/>
    <w:rsid w:val="000979AB"/>
    <w:rsid w:val="00097E3A"/>
    <w:rsid w:val="000A18DA"/>
    <w:rsid w:val="000A2732"/>
    <w:rsid w:val="000A2975"/>
    <w:rsid w:val="000A3255"/>
    <w:rsid w:val="000A39DB"/>
    <w:rsid w:val="000A3C12"/>
    <w:rsid w:val="000A3E58"/>
    <w:rsid w:val="000A4639"/>
    <w:rsid w:val="000A46A6"/>
    <w:rsid w:val="000A4730"/>
    <w:rsid w:val="000A490E"/>
    <w:rsid w:val="000A56A9"/>
    <w:rsid w:val="000A5CAD"/>
    <w:rsid w:val="000A6DF5"/>
    <w:rsid w:val="000B04F1"/>
    <w:rsid w:val="000B0CFD"/>
    <w:rsid w:val="000B3883"/>
    <w:rsid w:val="000B43C3"/>
    <w:rsid w:val="000B60ED"/>
    <w:rsid w:val="000B7373"/>
    <w:rsid w:val="000C230A"/>
    <w:rsid w:val="000C2A01"/>
    <w:rsid w:val="000C31D0"/>
    <w:rsid w:val="000C4402"/>
    <w:rsid w:val="000C487C"/>
    <w:rsid w:val="000C48DA"/>
    <w:rsid w:val="000C4CEF"/>
    <w:rsid w:val="000C5C27"/>
    <w:rsid w:val="000C6013"/>
    <w:rsid w:val="000D19FB"/>
    <w:rsid w:val="000D1C5E"/>
    <w:rsid w:val="000D2AC2"/>
    <w:rsid w:val="000D3ABF"/>
    <w:rsid w:val="000D3B26"/>
    <w:rsid w:val="000D4757"/>
    <w:rsid w:val="000D5098"/>
    <w:rsid w:val="000D5790"/>
    <w:rsid w:val="000D6DA5"/>
    <w:rsid w:val="000D6FA6"/>
    <w:rsid w:val="000D795F"/>
    <w:rsid w:val="000E0867"/>
    <w:rsid w:val="000E2004"/>
    <w:rsid w:val="000E2563"/>
    <w:rsid w:val="000E2C2F"/>
    <w:rsid w:val="000E48F3"/>
    <w:rsid w:val="000F09B0"/>
    <w:rsid w:val="000F2583"/>
    <w:rsid w:val="000F299C"/>
    <w:rsid w:val="000F32C4"/>
    <w:rsid w:val="000F358E"/>
    <w:rsid w:val="000F3746"/>
    <w:rsid w:val="000F496B"/>
    <w:rsid w:val="000F4A8C"/>
    <w:rsid w:val="000F5D79"/>
    <w:rsid w:val="00100392"/>
    <w:rsid w:val="00103945"/>
    <w:rsid w:val="0010692F"/>
    <w:rsid w:val="00106F72"/>
    <w:rsid w:val="001110B8"/>
    <w:rsid w:val="00112025"/>
    <w:rsid w:val="00113639"/>
    <w:rsid w:val="00114C6B"/>
    <w:rsid w:val="00114C7F"/>
    <w:rsid w:val="00116C72"/>
    <w:rsid w:val="001177FD"/>
    <w:rsid w:val="001218A1"/>
    <w:rsid w:val="00121B90"/>
    <w:rsid w:val="00123968"/>
    <w:rsid w:val="001329B0"/>
    <w:rsid w:val="00134073"/>
    <w:rsid w:val="00134987"/>
    <w:rsid w:val="001354DB"/>
    <w:rsid w:val="00136266"/>
    <w:rsid w:val="001372BB"/>
    <w:rsid w:val="00137E3D"/>
    <w:rsid w:val="001405C8"/>
    <w:rsid w:val="00140996"/>
    <w:rsid w:val="00140DAC"/>
    <w:rsid w:val="00140DD8"/>
    <w:rsid w:val="0014116E"/>
    <w:rsid w:val="00141C70"/>
    <w:rsid w:val="0014422F"/>
    <w:rsid w:val="00144C1B"/>
    <w:rsid w:val="00144DB7"/>
    <w:rsid w:val="0014563A"/>
    <w:rsid w:val="00150AD4"/>
    <w:rsid w:val="00151F5B"/>
    <w:rsid w:val="00153BD3"/>
    <w:rsid w:val="00154FB9"/>
    <w:rsid w:val="00157E61"/>
    <w:rsid w:val="001602AB"/>
    <w:rsid w:val="00160E82"/>
    <w:rsid w:val="00162ECA"/>
    <w:rsid w:val="00163B2F"/>
    <w:rsid w:val="00165834"/>
    <w:rsid w:val="001667CD"/>
    <w:rsid w:val="00166C30"/>
    <w:rsid w:val="00167506"/>
    <w:rsid w:val="00170CA7"/>
    <w:rsid w:val="0017149C"/>
    <w:rsid w:val="00171AE9"/>
    <w:rsid w:val="0017216A"/>
    <w:rsid w:val="00173B1B"/>
    <w:rsid w:val="00174240"/>
    <w:rsid w:val="001753BE"/>
    <w:rsid w:val="001760FC"/>
    <w:rsid w:val="00177592"/>
    <w:rsid w:val="00177807"/>
    <w:rsid w:val="001822E3"/>
    <w:rsid w:val="00184B58"/>
    <w:rsid w:val="00185638"/>
    <w:rsid w:val="001867E7"/>
    <w:rsid w:val="00186A52"/>
    <w:rsid w:val="001872A2"/>
    <w:rsid w:val="00187D74"/>
    <w:rsid w:val="00190A34"/>
    <w:rsid w:val="001922D6"/>
    <w:rsid w:val="00193B7F"/>
    <w:rsid w:val="00194237"/>
    <w:rsid w:val="00194280"/>
    <w:rsid w:val="001944D8"/>
    <w:rsid w:val="001950A4"/>
    <w:rsid w:val="001954BF"/>
    <w:rsid w:val="0019601D"/>
    <w:rsid w:val="001963AD"/>
    <w:rsid w:val="00197401"/>
    <w:rsid w:val="001A00F3"/>
    <w:rsid w:val="001A093F"/>
    <w:rsid w:val="001A17BD"/>
    <w:rsid w:val="001A2166"/>
    <w:rsid w:val="001A225D"/>
    <w:rsid w:val="001A265F"/>
    <w:rsid w:val="001A415D"/>
    <w:rsid w:val="001A4C19"/>
    <w:rsid w:val="001A4CA0"/>
    <w:rsid w:val="001B12C2"/>
    <w:rsid w:val="001B14C2"/>
    <w:rsid w:val="001B1ECA"/>
    <w:rsid w:val="001B2F94"/>
    <w:rsid w:val="001B31CF"/>
    <w:rsid w:val="001B3904"/>
    <w:rsid w:val="001B3F6B"/>
    <w:rsid w:val="001B4C8C"/>
    <w:rsid w:val="001B688C"/>
    <w:rsid w:val="001C007A"/>
    <w:rsid w:val="001C12AF"/>
    <w:rsid w:val="001C2DCC"/>
    <w:rsid w:val="001C72E7"/>
    <w:rsid w:val="001C7601"/>
    <w:rsid w:val="001D084E"/>
    <w:rsid w:val="001D2617"/>
    <w:rsid w:val="001D3358"/>
    <w:rsid w:val="001E036D"/>
    <w:rsid w:val="001E067E"/>
    <w:rsid w:val="001E0A21"/>
    <w:rsid w:val="001E16D0"/>
    <w:rsid w:val="001E4DB5"/>
    <w:rsid w:val="001E59DB"/>
    <w:rsid w:val="001E6535"/>
    <w:rsid w:val="001E769F"/>
    <w:rsid w:val="001E795E"/>
    <w:rsid w:val="001E79D7"/>
    <w:rsid w:val="001F0C1C"/>
    <w:rsid w:val="001F0E26"/>
    <w:rsid w:val="001F14C5"/>
    <w:rsid w:val="001F20AE"/>
    <w:rsid w:val="001F2EF0"/>
    <w:rsid w:val="001F305C"/>
    <w:rsid w:val="001F3BE0"/>
    <w:rsid w:val="001F3DC7"/>
    <w:rsid w:val="001F46F3"/>
    <w:rsid w:val="001F4C36"/>
    <w:rsid w:val="001F5891"/>
    <w:rsid w:val="001F6FC1"/>
    <w:rsid w:val="001F78A5"/>
    <w:rsid w:val="00200843"/>
    <w:rsid w:val="00200C37"/>
    <w:rsid w:val="00202284"/>
    <w:rsid w:val="002022D3"/>
    <w:rsid w:val="002028BB"/>
    <w:rsid w:val="00203A8F"/>
    <w:rsid w:val="00204247"/>
    <w:rsid w:val="00204338"/>
    <w:rsid w:val="002050AB"/>
    <w:rsid w:val="00206A47"/>
    <w:rsid w:val="002070C6"/>
    <w:rsid w:val="00210377"/>
    <w:rsid w:val="0021064F"/>
    <w:rsid w:val="00211C1A"/>
    <w:rsid w:val="00211E3E"/>
    <w:rsid w:val="00214EAE"/>
    <w:rsid w:val="00214F94"/>
    <w:rsid w:val="002151BC"/>
    <w:rsid w:val="00216270"/>
    <w:rsid w:val="00217F95"/>
    <w:rsid w:val="00220131"/>
    <w:rsid w:val="00220309"/>
    <w:rsid w:val="00221D0F"/>
    <w:rsid w:val="00222B57"/>
    <w:rsid w:val="00222BC4"/>
    <w:rsid w:val="00222EA0"/>
    <w:rsid w:val="00223B8D"/>
    <w:rsid w:val="00224421"/>
    <w:rsid w:val="002262CA"/>
    <w:rsid w:val="0023049A"/>
    <w:rsid w:val="002304E7"/>
    <w:rsid w:val="0023071A"/>
    <w:rsid w:val="00230D00"/>
    <w:rsid w:val="00230FF4"/>
    <w:rsid w:val="00231BEA"/>
    <w:rsid w:val="002358B8"/>
    <w:rsid w:val="00244160"/>
    <w:rsid w:val="00245552"/>
    <w:rsid w:val="00245ACC"/>
    <w:rsid w:val="002461A3"/>
    <w:rsid w:val="00251056"/>
    <w:rsid w:val="00251456"/>
    <w:rsid w:val="00252AA7"/>
    <w:rsid w:val="00252B31"/>
    <w:rsid w:val="00253466"/>
    <w:rsid w:val="002539A9"/>
    <w:rsid w:val="00253A79"/>
    <w:rsid w:val="00253D7A"/>
    <w:rsid w:val="00255095"/>
    <w:rsid w:val="002559B9"/>
    <w:rsid w:val="002562EA"/>
    <w:rsid w:val="00256FA1"/>
    <w:rsid w:val="0025717C"/>
    <w:rsid w:val="00257DA0"/>
    <w:rsid w:val="00260799"/>
    <w:rsid w:val="00262294"/>
    <w:rsid w:val="00263B2F"/>
    <w:rsid w:val="00266BB9"/>
    <w:rsid w:val="002702B1"/>
    <w:rsid w:val="00270314"/>
    <w:rsid w:val="0027214C"/>
    <w:rsid w:val="00272307"/>
    <w:rsid w:val="00272886"/>
    <w:rsid w:val="00272EB5"/>
    <w:rsid w:val="002744E7"/>
    <w:rsid w:val="00274E49"/>
    <w:rsid w:val="0027657D"/>
    <w:rsid w:val="002767B1"/>
    <w:rsid w:val="002771F3"/>
    <w:rsid w:val="00277344"/>
    <w:rsid w:val="002801D6"/>
    <w:rsid w:val="002819FD"/>
    <w:rsid w:val="00282C69"/>
    <w:rsid w:val="0028333B"/>
    <w:rsid w:val="00283493"/>
    <w:rsid w:val="00283CAD"/>
    <w:rsid w:val="00283D4E"/>
    <w:rsid w:val="00283E17"/>
    <w:rsid w:val="002841A8"/>
    <w:rsid w:val="00284C51"/>
    <w:rsid w:val="00286DF3"/>
    <w:rsid w:val="00287BAA"/>
    <w:rsid w:val="002904B2"/>
    <w:rsid w:val="0029176C"/>
    <w:rsid w:val="002917E8"/>
    <w:rsid w:val="00292161"/>
    <w:rsid w:val="002944BB"/>
    <w:rsid w:val="00294709"/>
    <w:rsid w:val="0029471F"/>
    <w:rsid w:val="0029479E"/>
    <w:rsid w:val="00295101"/>
    <w:rsid w:val="002A1D84"/>
    <w:rsid w:val="002A1EE0"/>
    <w:rsid w:val="002A296C"/>
    <w:rsid w:val="002A553F"/>
    <w:rsid w:val="002A5EE1"/>
    <w:rsid w:val="002A6150"/>
    <w:rsid w:val="002A67F4"/>
    <w:rsid w:val="002A7344"/>
    <w:rsid w:val="002A7B22"/>
    <w:rsid w:val="002A7C14"/>
    <w:rsid w:val="002B0453"/>
    <w:rsid w:val="002B0E1C"/>
    <w:rsid w:val="002B0F0C"/>
    <w:rsid w:val="002B1D48"/>
    <w:rsid w:val="002B1E15"/>
    <w:rsid w:val="002B245A"/>
    <w:rsid w:val="002B2C2F"/>
    <w:rsid w:val="002B319F"/>
    <w:rsid w:val="002B408A"/>
    <w:rsid w:val="002B48BA"/>
    <w:rsid w:val="002B5274"/>
    <w:rsid w:val="002B59FA"/>
    <w:rsid w:val="002B5D4E"/>
    <w:rsid w:val="002B6A20"/>
    <w:rsid w:val="002B6A6C"/>
    <w:rsid w:val="002B7379"/>
    <w:rsid w:val="002B7976"/>
    <w:rsid w:val="002B7E48"/>
    <w:rsid w:val="002C0241"/>
    <w:rsid w:val="002C04B2"/>
    <w:rsid w:val="002C1679"/>
    <w:rsid w:val="002C2544"/>
    <w:rsid w:val="002C3A2B"/>
    <w:rsid w:val="002C40CF"/>
    <w:rsid w:val="002C4624"/>
    <w:rsid w:val="002C4F03"/>
    <w:rsid w:val="002C54BA"/>
    <w:rsid w:val="002C5686"/>
    <w:rsid w:val="002C591E"/>
    <w:rsid w:val="002C633B"/>
    <w:rsid w:val="002C6574"/>
    <w:rsid w:val="002C6B15"/>
    <w:rsid w:val="002D00DA"/>
    <w:rsid w:val="002D09E7"/>
    <w:rsid w:val="002D1583"/>
    <w:rsid w:val="002D31C8"/>
    <w:rsid w:val="002D3C63"/>
    <w:rsid w:val="002D4A7A"/>
    <w:rsid w:val="002D63E2"/>
    <w:rsid w:val="002D6610"/>
    <w:rsid w:val="002D6AA9"/>
    <w:rsid w:val="002D6E92"/>
    <w:rsid w:val="002D707B"/>
    <w:rsid w:val="002D7266"/>
    <w:rsid w:val="002D7807"/>
    <w:rsid w:val="002E1AEB"/>
    <w:rsid w:val="002E1C11"/>
    <w:rsid w:val="002E2473"/>
    <w:rsid w:val="002E503A"/>
    <w:rsid w:val="002E6071"/>
    <w:rsid w:val="002E617A"/>
    <w:rsid w:val="002E64B9"/>
    <w:rsid w:val="002E6678"/>
    <w:rsid w:val="002E6923"/>
    <w:rsid w:val="002E7E62"/>
    <w:rsid w:val="002F0C2C"/>
    <w:rsid w:val="002F1071"/>
    <w:rsid w:val="002F1905"/>
    <w:rsid w:val="002F2029"/>
    <w:rsid w:val="002F2103"/>
    <w:rsid w:val="002F2702"/>
    <w:rsid w:val="002F2CA9"/>
    <w:rsid w:val="002F4E51"/>
    <w:rsid w:val="002F510A"/>
    <w:rsid w:val="002F7B45"/>
    <w:rsid w:val="002F7D54"/>
    <w:rsid w:val="002F7ECE"/>
    <w:rsid w:val="003002CA"/>
    <w:rsid w:val="003019C3"/>
    <w:rsid w:val="003028F0"/>
    <w:rsid w:val="0030405B"/>
    <w:rsid w:val="0030460D"/>
    <w:rsid w:val="003061D8"/>
    <w:rsid w:val="00307592"/>
    <w:rsid w:val="00310D09"/>
    <w:rsid w:val="00311F88"/>
    <w:rsid w:val="00312EC3"/>
    <w:rsid w:val="00313ABD"/>
    <w:rsid w:val="00314669"/>
    <w:rsid w:val="00315F70"/>
    <w:rsid w:val="00317D8B"/>
    <w:rsid w:val="00321801"/>
    <w:rsid w:val="003218D6"/>
    <w:rsid w:val="00321D36"/>
    <w:rsid w:val="00330163"/>
    <w:rsid w:val="003319B5"/>
    <w:rsid w:val="00331C22"/>
    <w:rsid w:val="00332E47"/>
    <w:rsid w:val="003374ED"/>
    <w:rsid w:val="00340A56"/>
    <w:rsid w:val="003426F3"/>
    <w:rsid w:val="00342CEE"/>
    <w:rsid w:val="00346B70"/>
    <w:rsid w:val="00346DF6"/>
    <w:rsid w:val="00350CB6"/>
    <w:rsid w:val="003516B6"/>
    <w:rsid w:val="00351C6B"/>
    <w:rsid w:val="00355574"/>
    <w:rsid w:val="00355C39"/>
    <w:rsid w:val="0035756E"/>
    <w:rsid w:val="00357770"/>
    <w:rsid w:val="00357AEF"/>
    <w:rsid w:val="00357FDA"/>
    <w:rsid w:val="0036078D"/>
    <w:rsid w:val="00360884"/>
    <w:rsid w:val="003609A1"/>
    <w:rsid w:val="003612FC"/>
    <w:rsid w:val="00361ACF"/>
    <w:rsid w:val="00363187"/>
    <w:rsid w:val="00363EE4"/>
    <w:rsid w:val="00364C1B"/>
    <w:rsid w:val="00370929"/>
    <w:rsid w:val="00371B5E"/>
    <w:rsid w:val="00371EA8"/>
    <w:rsid w:val="003723B3"/>
    <w:rsid w:val="0037376B"/>
    <w:rsid w:val="00373DCE"/>
    <w:rsid w:val="00374070"/>
    <w:rsid w:val="0037469E"/>
    <w:rsid w:val="00375174"/>
    <w:rsid w:val="00375611"/>
    <w:rsid w:val="0037732A"/>
    <w:rsid w:val="00377D53"/>
    <w:rsid w:val="003808C4"/>
    <w:rsid w:val="00381FBC"/>
    <w:rsid w:val="00382244"/>
    <w:rsid w:val="003832EA"/>
    <w:rsid w:val="00383460"/>
    <w:rsid w:val="003835E4"/>
    <w:rsid w:val="00385BCC"/>
    <w:rsid w:val="00385F42"/>
    <w:rsid w:val="00387801"/>
    <w:rsid w:val="00387D75"/>
    <w:rsid w:val="00387ED6"/>
    <w:rsid w:val="0039155B"/>
    <w:rsid w:val="00393C23"/>
    <w:rsid w:val="00396608"/>
    <w:rsid w:val="00396770"/>
    <w:rsid w:val="003967AB"/>
    <w:rsid w:val="003A11FE"/>
    <w:rsid w:val="003A1465"/>
    <w:rsid w:val="003A1473"/>
    <w:rsid w:val="003A1E42"/>
    <w:rsid w:val="003A2550"/>
    <w:rsid w:val="003A312D"/>
    <w:rsid w:val="003A4539"/>
    <w:rsid w:val="003A4EB3"/>
    <w:rsid w:val="003A5966"/>
    <w:rsid w:val="003A781D"/>
    <w:rsid w:val="003B1233"/>
    <w:rsid w:val="003B4400"/>
    <w:rsid w:val="003B46E7"/>
    <w:rsid w:val="003B54A3"/>
    <w:rsid w:val="003B5829"/>
    <w:rsid w:val="003B6870"/>
    <w:rsid w:val="003B6C52"/>
    <w:rsid w:val="003B7727"/>
    <w:rsid w:val="003C1245"/>
    <w:rsid w:val="003C1714"/>
    <w:rsid w:val="003C2059"/>
    <w:rsid w:val="003C5EB6"/>
    <w:rsid w:val="003D02D4"/>
    <w:rsid w:val="003D139D"/>
    <w:rsid w:val="003D462E"/>
    <w:rsid w:val="003D4A93"/>
    <w:rsid w:val="003D51E5"/>
    <w:rsid w:val="003D6FB0"/>
    <w:rsid w:val="003D74C4"/>
    <w:rsid w:val="003E2DCB"/>
    <w:rsid w:val="003E3BDF"/>
    <w:rsid w:val="003E433B"/>
    <w:rsid w:val="003E4400"/>
    <w:rsid w:val="003E51DA"/>
    <w:rsid w:val="003E5BC8"/>
    <w:rsid w:val="003E6086"/>
    <w:rsid w:val="003E6107"/>
    <w:rsid w:val="003E7D56"/>
    <w:rsid w:val="003F0032"/>
    <w:rsid w:val="003F0E79"/>
    <w:rsid w:val="003F3280"/>
    <w:rsid w:val="003F6026"/>
    <w:rsid w:val="003F7B31"/>
    <w:rsid w:val="00400410"/>
    <w:rsid w:val="004015FC"/>
    <w:rsid w:val="004049F2"/>
    <w:rsid w:val="00404C91"/>
    <w:rsid w:val="00405E1E"/>
    <w:rsid w:val="00406000"/>
    <w:rsid w:val="004061BA"/>
    <w:rsid w:val="00410181"/>
    <w:rsid w:val="004118FD"/>
    <w:rsid w:val="00411A78"/>
    <w:rsid w:val="004120CA"/>
    <w:rsid w:val="004132DF"/>
    <w:rsid w:val="00413E9B"/>
    <w:rsid w:val="004140BB"/>
    <w:rsid w:val="00417474"/>
    <w:rsid w:val="004213E5"/>
    <w:rsid w:val="0042145D"/>
    <w:rsid w:val="0042171A"/>
    <w:rsid w:val="00424DBC"/>
    <w:rsid w:val="00425E8E"/>
    <w:rsid w:val="00425ED7"/>
    <w:rsid w:val="00426C7C"/>
    <w:rsid w:val="004302DE"/>
    <w:rsid w:val="004309A9"/>
    <w:rsid w:val="00431860"/>
    <w:rsid w:val="00432856"/>
    <w:rsid w:val="00433038"/>
    <w:rsid w:val="00433F89"/>
    <w:rsid w:val="004342DC"/>
    <w:rsid w:val="00436A3A"/>
    <w:rsid w:val="00441D97"/>
    <w:rsid w:val="0044220B"/>
    <w:rsid w:val="00442610"/>
    <w:rsid w:val="004426B5"/>
    <w:rsid w:val="00442DCD"/>
    <w:rsid w:val="00444754"/>
    <w:rsid w:val="004447D1"/>
    <w:rsid w:val="00446D26"/>
    <w:rsid w:val="00451405"/>
    <w:rsid w:val="00452CEF"/>
    <w:rsid w:val="004550DA"/>
    <w:rsid w:val="00457BA6"/>
    <w:rsid w:val="004604C4"/>
    <w:rsid w:val="00462213"/>
    <w:rsid w:val="00464DEF"/>
    <w:rsid w:val="00467645"/>
    <w:rsid w:val="004676C3"/>
    <w:rsid w:val="004721FA"/>
    <w:rsid w:val="004752AF"/>
    <w:rsid w:val="004773CB"/>
    <w:rsid w:val="004806B7"/>
    <w:rsid w:val="00481A73"/>
    <w:rsid w:val="004820C7"/>
    <w:rsid w:val="0048268E"/>
    <w:rsid w:val="00490241"/>
    <w:rsid w:val="004903E8"/>
    <w:rsid w:val="00490D9D"/>
    <w:rsid w:val="00491852"/>
    <w:rsid w:val="00492496"/>
    <w:rsid w:val="0049294C"/>
    <w:rsid w:val="004938CA"/>
    <w:rsid w:val="00493EE8"/>
    <w:rsid w:val="00494124"/>
    <w:rsid w:val="004942B9"/>
    <w:rsid w:val="004978CE"/>
    <w:rsid w:val="004A01FF"/>
    <w:rsid w:val="004A0B87"/>
    <w:rsid w:val="004A1F60"/>
    <w:rsid w:val="004A2B8E"/>
    <w:rsid w:val="004A3DD0"/>
    <w:rsid w:val="004A4DAB"/>
    <w:rsid w:val="004A5216"/>
    <w:rsid w:val="004A5279"/>
    <w:rsid w:val="004A584D"/>
    <w:rsid w:val="004A5B9F"/>
    <w:rsid w:val="004A5E3E"/>
    <w:rsid w:val="004A60D8"/>
    <w:rsid w:val="004A6CDE"/>
    <w:rsid w:val="004A717A"/>
    <w:rsid w:val="004B151A"/>
    <w:rsid w:val="004B1CFB"/>
    <w:rsid w:val="004B3108"/>
    <w:rsid w:val="004B4819"/>
    <w:rsid w:val="004B5B00"/>
    <w:rsid w:val="004B6762"/>
    <w:rsid w:val="004B74E7"/>
    <w:rsid w:val="004B7A0C"/>
    <w:rsid w:val="004C0D24"/>
    <w:rsid w:val="004C54E5"/>
    <w:rsid w:val="004C748E"/>
    <w:rsid w:val="004D24AE"/>
    <w:rsid w:val="004D3A9D"/>
    <w:rsid w:val="004D4947"/>
    <w:rsid w:val="004D4CCB"/>
    <w:rsid w:val="004D4D44"/>
    <w:rsid w:val="004D4E15"/>
    <w:rsid w:val="004D6360"/>
    <w:rsid w:val="004D6700"/>
    <w:rsid w:val="004E03A2"/>
    <w:rsid w:val="004E3598"/>
    <w:rsid w:val="004E37DF"/>
    <w:rsid w:val="004E37E5"/>
    <w:rsid w:val="004E4498"/>
    <w:rsid w:val="004E674E"/>
    <w:rsid w:val="004E6A34"/>
    <w:rsid w:val="004E7F8C"/>
    <w:rsid w:val="004F143B"/>
    <w:rsid w:val="004F1550"/>
    <w:rsid w:val="004F1A62"/>
    <w:rsid w:val="004F3F48"/>
    <w:rsid w:val="004F4DA3"/>
    <w:rsid w:val="004F551B"/>
    <w:rsid w:val="004F5787"/>
    <w:rsid w:val="004F6505"/>
    <w:rsid w:val="005017F9"/>
    <w:rsid w:val="0050347A"/>
    <w:rsid w:val="00503AEC"/>
    <w:rsid w:val="00503E51"/>
    <w:rsid w:val="005045F0"/>
    <w:rsid w:val="0050542E"/>
    <w:rsid w:val="005054E0"/>
    <w:rsid w:val="00507FE9"/>
    <w:rsid w:val="005102D8"/>
    <w:rsid w:val="0051058F"/>
    <w:rsid w:val="00510F14"/>
    <w:rsid w:val="00512CAE"/>
    <w:rsid w:val="00512F6A"/>
    <w:rsid w:val="005137BD"/>
    <w:rsid w:val="00515585"/>
    <w:rsid w:val="00515C43"/>
    <w:rsid w:val="00517AD4"/>
    <w:rsid w:val="00520431"/>
    <w:rsid w:val="0052262C"/>
    <w:rsid w:val="00523047"/>
    <w:rsid w:val="005245AE"/>
    <w:rsid w:val="00526943"/>
    <w:rsid w:val="0052699B"/>
    <w:rsid w:val="00532486"/>
    <w:rsid w:val="0053285B"/>
    <w:rsid w:val="005330F6"/>
    <w:rsid w:val="005337FC"/>
    <w:rsid w:val="0053394E"/>
    <w:rsid w:val="00533A8A"/>
    <w:rsid w:val="00533EB4"/>
    <w:rsid w:val="00535320"/>
    <w:rsid w:val="00536D19"/>
    <w:rsid w:val="005376F0"/>
    <w:rsid w:val="005377C0"/>
    <w:rsid w:val="0053785A"/>
    <w:rsid w:val="00537915"/>
    <w:rsid w:val="005409E7"/>
    <w:rsid w:val="00540B23"/>
    <w:rsid w:val="00541023"/>
    <w:rsid w:val="005430DF"/>
    <w:rsid w:val="00543CDC"/>
    <w:rsid w:val="00544866"/>
    <w:rsid w:val="00546792"/>
    <w:rsid w:val="005468E9"/>
    <w:rsid w:val="00547B64"/>
    <w:rsid w:val="0055001F"/>
    <w:rsid w:val="005503F6"/>
    <w:rsid w:val="00550AE2"/>
    <w:rsid w:val="00551776"/>
    <w:rsid w:val="00552554"/>
    <w:rsid w:val="005532F9"/>
    <w:rsid w:val="00553A92"/>
    <w:rsid w:val="00553FCA"/>
    <w:rsid w:val="00554537"/>
    <w:rsid w:val="0055465A"/>
    <w:rsid w:val="00554FCD"/>
    <w:rsid w:val="00555083"/>
    <w:rsid w:val="00555405"/>
    <w:rsid w:val="00555628"/>
    <w:rsid w:val="00555FE1"/>
    <w:rsid w:val="00556A69"/>
    <w:rsid w:val="0056103D"/>
    <w:rsid w:val="00562136"/>
    <w:rsid w:val="005633D2"/>
    <w:rsid w:val="00563ED7"/>
    <w:rsid w:val="0056584E"/>
    <w:rsid w:val="005661BE"/>
    <w:rsid w:val="005671A5"/>
    <w:rsid w:val="00567299"/>
    <w:rsid w:val="00567CBE"/>
    <w:rsid w:val="00570439"/>
    <w:rsid w:val="00570CA3"/>
    <w:rsid w:val="00571372"/>
    <w:rsid w:val="005715B6"/>
    <w:rsid w:val="005719C4"/>
    <w:rsid w:val="005724B8"/>
    <w:rsid w:val="00573D48"/>
    <w:rsid w:val="00573D5E"/>
    <w:rsid w:val="005758E8"/>
    <w:rsid w:val="00576309"/>
    <w:rsid w:val="00576319"/>
    <w:rsid w:val="00576FC3"/>
    <w:rsid w:val="005772F4"/>
    <w:rsid w:val="005777E2"/>
    <w:rsid w:val="005804D9"/>
    <w:rsid w:val="005805BA"/>
    <w:rsid w:val="00581668"/>
    <w:rsid w:val="005820EE"/>
    <w:rsid w:val="005830DE"/>
    <w:rsid w:val="00585799"/>
    <w:rsid w:val="0058584A"/>
    <w:rsid w:val="00585B6A"/>
    <w:rsid w:val="00587916"/>
    <w:rsid w:val="005902FB"/>
    <w:rsid w:val="00590C6E"/>
    <w:rsid w:val="0059103D"/>
    <w:rsid w:val="005910D7"/>
    <w:rsid w:val="005911A5"/>
    <w:rsid w:val="005935A5"/>
    <w:rsid w:val="00595347"/>
    <w:rsid w:val="00596025"/>
    <w:rsid w:val="005975D0"/>
    <w:rsid w:val="005A192E"/>
    <w:rsid w:val="005A1D8F"/>
    <w:rsid w:val="005A2E1B"/>
    <w:rsid w:val="005A32A7"/>
    <w:rsid w:val="005B08C8"/>
    <w:rsid w:val="005B1169"/>
    <w:rsid w:val="005B4340"/>
    <w:rsid w:val="005B5BE5"/>
    <w:rsid w:val="005B6E2F"/>
    <w:rsid w:val="005B762F"/>
    <w:rsid w:val="005B7F25"/>
    <w:rsid w:val="005C040F"/>
    <w:rsid w:val="005C1C40"/>
    <w:rsid w:val="005C4DB4"/>
    <w:rsid w:val="005C5D1C"/>
    <w:rsid w:val="005C76DD"/>
    <w:rsid w:val="005C7BA2"/>
    <w:rsid w:val="005D06A1"/>
    <w:rsid w:val="005D2BD3"/>
    <w:rsid w:val="005D31FC"/>
    <w:rsid w:val="005D43F2"/>
    <w:rsid w:val="005D499B"/>
    <w:rsid w:val="005D525E"/>
    <w:rsid w:val="005D5889"/>
    <w:rsid w:val="005D64C9"/>
    <w:rsid w:val="005D6797"/>
    <w:rsid w:val="005D76F7"/>
    <w:rsid w:val="005E0B99"/>
    <w:rsid w:val="005E1DD9"/>
    <w:rsid w:val="005E1F34"/>
    <w:rsid w:val="005E2010"/>
    <w:rsid w:val="005E2932"/>
    <w:rsid w:val="005E33EC"/>
    <w:rsid w:val="005E3577"/>
    <w:rsid w:val="005E50C7"/>
    <w:rsid w:val="005E56DD"/>
    <w:rsid w:val="005E58DD"/>
    <w:rsid w:val="005F17EF"/>
    <w:rsid w:val="005F1945"/>
    <w:rsid w:val="005F1C9A"/>
    <w:rsid w:val="005F3344"/>
    <w:rsid w:val="005F4281"/>
    <w:rsid w:val="005F43B4"/>
    <w:rsid w:val="005F4FE3"/>
    <w:rsid w:val="005F5C51"/>
    <w:rsid w:val="005F6943"/>
    <w:rsid w:val="005F70F0"/>
    <w:rsid w:val="005F799B"/>
    <w:rsid w:val="00601CCB"/>
    <w:rsid w:val="006020BB"/>
    <w:rsid w:val="00602848"/>
    <w:rsid w:val="00604BDC"/>
    <w:rsid w:val="00606005"/>
    <w:rsid w:val="0060640A"/>
    <w:rsid w:val="00606871"/>
    <w:rsid w:val="0060709C"/>
    <w:rsid w:val="006077BF"/>
    <w:rsid w:val="00607EC0"/>
    <w:rsid w:val="0061020F"/>
    <w:rsid w:val="00610FD3"/>
    <w:rsid w:val="006114DA"/>
    <w:rsid w:val="00611625"/>
    <w:rsid w:val="00612092"/>
    <w:rsid w:val="006131CB"/>
    <w:rsid w:val="00615CE0"/>
    <w:rsid w:val="0061611E"/>
    <w:rsid w:val="00616361"/>
    <w:rsid w:val="00616CEE"/>
    <w:rsid w:val="00617459"/>
    <w:rsid w:val="00617F04"/>
    <w:rsid w:val="00620874"/>
    <w:rsid w:val="00620C73"/>
    <w:rsid w:val="00622F00"/>
    <w:rsid w:val="0062506B"/>
    <w:rsid w:val="006266B1"/>
    <w:rsid w:val="006279D4"/>
    <w:rsid w:val="00627E11"/>
    <w:rsid w:val="00630473"/>
    <w:rsid w:val="00630E59"/>
    <w:rsid w:val="00631358"/>
    <w:rsid w:val="0063182D"/>
    <w:rsid w:val="00631B80"/>
    <w:rsid w:val="00631FC7"/>
    <w:rsid w:val="00633259"/>
    <w:rsid w:val="006336D5"/>
    <w:rsid w:val="00634A42"/>
    <w:rsid w:val="0063648C"/>
    <w:rsid w:val="00640FA7"/>
    <w:rsid w:val="00641705"/>
    <w:rsid w:val="00644A97"/>
    <w:rsid w:val="00644B46"/>
    <w:rsid w:val="00645321"/>
    <w:rsid w:val="0064708D"/>
    <w:rsid w:val="006473DE"/>
    <w:rsid w:val="00647BBB"/>
    <w:rsid w:val="006503CF"/>
    <w:rsid w:val="00652387"/>
    <w:rsid w:val="006539D8"/>
    <w:rsid w:val="00654A81"/>
    <w:rsid w:val="00654EEB"/>
    <w:rsid w:val="00655950"/>
    <w:rsid w:val="00655FE7"/>
    <w:rsid w:val="00655FF5"/>
    <w:rsid w:val="00657A91"/>
    <w:rsid w:val="0066078A"/>
    <w:rsid w:val="00661FBB"/>
    <w:rsid w:val="006631B2"/>
    <w:rsid w:val="00666B36"/>
    <w:rsid w:val="00667024"/>
    <w:rsid w:val="0067015F"/>
    <w:rsid w:val="00670845"/>
    <w:rsid w:val="00671E44"/>
    <w:rsid w:val="00672E08"/>
    <w:rsid w:val="0067318E"/>
    <w:rsid w:val="006741F1"/>
    <w:rsid w:val="006744C4"/>
    <w:rsid w:val="0067485E"/>
    <w:rsid w:val="0067488A"/>
    <w:rsid w:val="00681279"/>
    <w:rsid w:val="00681998"/>
    <w:rsid w:val="00681E51"/>
    <w:rsid w:val="006820B3"/>
    <w:rsid w:val="006842AB"/>
    <w:rsid w:val="006845E0"/>
    <w:rsid w:val="00684E32"/>
    <w:rsid w:val="00687159"/>
    <w:rsid w:val="00691335"/>
    <w:rsid w:val="006920D5"/>
    <w:rsid w:val="006928C5"/>
    <w:rsid w:val="00692FCF"/>
    <w:rsid w:val="006954BE"/>
    <w:rsid w:val="00695BE5"/>
    <w:rsid w:val="00697C83"/>
    <w:rsid w:val="00697F10"/>
    <w:rsid w:val="006A05F7"/>
    <w:rsid w:val="006A0CD4"/>
    <w:rsid w:val="006A12AA"/>
    <w:rsid w:val="006A19EC"/>
    <w:rsid w:val="006A1E4C"/>
    <w:rsid w:val="006A22C5"/>
    <w:rsid w:val="006A5545"/>
    <w:rsid w:val="006A5A35"/>
    <w:rsid w:val="006A5CB2"/>
    <w:rsid w:val="006A7F9E"/>
    <w:rsid w:val="006B156E"/>
    <w:rsid w:val="006B2725"/>
    <w:rsid w:val="006B33D8"/>
    <w:rsid w:val="006B4123"/>
    <w:rsid w:val="006B43CF"/>
    <w:rsid w:val="006B69E2"/>
    <w:rsid w:val="006B72A6"/>
    <w:rsid w:val="006C0F9B"/>
    <w:rsid w:val="006C3811"/>
    <w:rsid w:val="006C3FF6"/>
    <w:rsid w:val="006C5F22"/>
    <w:rsid w:val="006C70AD"/>
    <w:rsid w:val="006D13E8"/>
    <w:rsid w:val="006D1417"/>
    <w:rsid w:val="006D1717"/>
    <w:rsid w:val="006D17A0"/>
    <w:rsid w:val="006D2120"/>
    <w:rsid w:val="006D23B8"/>
    <w:rsid w:val="006D2D06"/>
    <w:rsid w:val="006D323B"/>
    <w:rsid w:val="006D34DC"/>
    <w:rsid w:val="006D6028"/>
    <w:rsid w:val="006D6E0B"/>
    <w:rsid w:val="006D78E8"/>
    <w:rsid w:val="006E05C4"/>
    <w:rsid w:val="006E0D22"/>
    <w:rsid w:val="006E190D"/>
    <w:rsid w:val="006E1BFE"/>
    <w:rsid w:val="006E261E"/>
    <w:rsid w:val="006E2688"/>
    <w:rsid w:val="006E3561"/>
    <w:rsid w:val="006E36D6"/>
    <w:rsid w:val="006E4377"/>
    <w:rsid w:val="006E43C4"/>
    <w:rsid w:val="006E4B8F"/>
    <w:rsid w:val="006E524F"/>
    <w:rsid w:val="006E5AD9"/>
    <w:rsid w:val="006E5E11"/>
    <w:rsid w:val="006E6E09"/>
    <w:rsid w:val="006E7560"/>
    <w:rsid w:val="006F05BD"/>
    <w:rsid w:val="006F143B"/>
    <w:rsid w:val="006F1C9F"/>
    <w:rsid w:val="006F27C8"/>
    <w:rsid w:val="006F343C"/>
    <w:rsid w:val="006F3AEF"/>
    <w:rsid w:val="006F3B35"/>
    <w:rsid w:val="006F3FDE"/>
    <w:rsid w:val="006F3FE7"/>
    <w:rsid w:val="006F51DC"/>
    <w:rsid w:val="00700C4A"/>
    <w:rsid w:val="007012C8"/>
    <w:rsid w:val="007027F4"/>
    <w:rsid w:val="00703C65"/>
    <w:rsid w:val="00705B64"/>
    <w:rsid w:val="00707AC9"/>
    <w:rsid w:val="00707D1E"/>
    <w:rsid w:val="00710CB9"/>
    <w:rsid w:val="00711C16"/>
    <w:rsid w:val="00712C05"/>
    <w:rsid w:val="00714679"/>
    <w:rsid w:val="00715819"/>
    <w:rsid w:val="00717711"/>
    <w:rsid w:val="00717A58"/>
    <w:rsid w:val="00717B0B"/>
    <w:rsid w:val="00717D16"/>
    <w:rsid w:val="00724974"/>
    <w:rsid w:val="007251D7"/>
    <w:rsid w:val="007253B7"/>
    <w:rsid w:val="007265CA"/>
    <w:rsid w:val="0072665E"/>
    <w:rsid w:val="00730D6E"/>
    <w:rsid w:val="00730E17"/>
    <w:rsid w:val="0073197D"/>
    <w:rsid w:val="00733650"/>
    <w:rsid w:val="00733DAC"/>
    <w:rsid w:val="00734013"/>
    <w:rsid w:val="007347A5"/>
    <w:rsid w:val="00734E9C"/>
    <w:rsid w:val="00735E0D"/>
    <w:rsid w:val="007370C8"/>
    <w:rsid w:val="0073772C"/>
    <w:rsid w:val="007379FE"/>
    <w:rsid w:val="00737DD9"/>
    <w:rsid w:val="00737E70"/>
    <w:rsid w:val="007408D6"/>
    <w:rsid w:val="00741B96"/>
    <w:rsid w:val="00742044"/>
    <w:rsid w:val="00742379"/>
    <w:rsid w:val="00742820"/>
    <w:rsid w:val="0074308B"/>
    <w:rsid w:val="007431C3"/>
    <w:rsid w:val="00743C28"/>
    <w:rsid w:val="00743E91"/>
    <w:rsid w:val="00744D87"/>
    <w:rsid w:val="0074502C"/>
    <w:rsid w:val="00747DAD"/>
    <w:rsid w:val="0075126D"/>
    <w:rsid w:val="00751429"/>
    <w:rsid w:val="00751702"/>
    <w:rsid w:val="00751E35"/>
    <w:rsid w:val="007529B4"/>
    <w:rsid w:val="00752CCF"/>
    <w:rsid w:val="0075325D"/>
    <w:rsid w:val="00753648"/>
    <w:rsid w:val="007539DA"/>
    <w:rsid w:val="00755A73"/>
    <w:rsid w:val="00760289"/>
    <w:rsid w:val="00761AC5"/>
    <w:rsid w:val="00763D2B"/>
    <w:rsid w:val="00764301"/>
    <w:rsid w:val="00764619"/>
    <w:rsid w:val="00765A95"/>
    <w:rsid w:val="00766ADE"/>
    <w:rsid w:val="0076768E"/>
    <w:rsid w:val="00767DEF"/>
    <w:rsid w:val="00770B5B"/>
    <w:rsid w:val="00771680"/>
    <w:rsid w:val="00772E7F"/>
    <w:rsid w:val="00773694"/>
    <w:rsid w:val="0077588A"/>
    <w:rsid w:val="0077590F"/>
    <w:rsid w:val="00776236"/>
    <w:rsid w:val="00776A46"/>
    <w:rsid w:val="00777829"/>
    <w:rsid w:val="007778B2"/>
    <w:rsid w:val="0078036A"/>
    <w:rsid w:val="00780FCF"/>
    <w:rsid w:val="0078238C"/>
    <w:rsid w:val="00782488"/>
    <w:rsid w:val="0078255D"/>
    <w:rsid w:val="0078330F"/>
    <w:rsid w:val="00783327"/>
    <w:rsid w:val="00786FE1"/>
    <w:rsid w:val="00787AEC"/>
    <w:rsid w:val="00790998"/>
    <w:rsid w:val="007918D6"/>
    <w:rsid w:val="007965E9"/>
    <w:rsid w:val="007A079E"/>
    <w:rsid w:val="007A0E41"/>
    <w:rsid w:val="007A3821"/>
    <w:rsid w:val="007A4416"/>
    <w:rsid w:val="007A53B3"/>
    <w:rsid w:val="007A5518"/>
    <w:rsid w:val="007A6586"/>
    <w:rsid w:val="007A6999"/>
    <w:rsid w:val="007A6F0A"/>
    <w:rsid w:val="007A7020"/>
    <w:rsid w:val="007A7490"/>
    <w:rsid w:val="007A74A0"/>
    <w:rsid w:val="007B3965"/>
    <w:rsid w:val="007B4F3B"/>
    <w:rsid w:val="007B6461"/>
    <w:rsid w:val="007B6481"/>
    <w:rsid w:val="007C3BDA"/>
    <w:rsid w:val="007C46B0"/>
    <w:rsid w:val="007C5CD4"/>
    <w:rsid w:val="007C679B"/>
    <w:rsid w:val="007C7098"/>
    <w:rsid w:val="007C7995"/>
    <w:rsid w:val="007D3C1B"/>
    <w:rsid w:val="007D4081"/>
    <w:rsid w:val="007D5753"/>
    <w:rsid w:val="007D76FD"/>
    <w:rsid w:val="007E01D2"/>
    <w:rsid w:val="007E1490"/>
    <w:rsid w:val="007E1D2D"/>
    <w:rsid w:val="007E2343"/>
    <w:rsid w:val="007E3A58"/>
    <w:rsid w:val="007E57A7"/>
    <w:rsid w:val="007E58A0"/>
    <w:rsid w:val="007F4415"/>
    <w:rsid w:val="007F603E"/>
    <w:rsid w:val="007F6F0C"/>
    <w:rsid w:val="007F760D"/>
    <w:rsid w:val="007F781C"/>
    <w:rsid w:val="007F7E7E"/>
    <w:rsid w:val="00800219"/>
    <w:rsid w:val="0080047F"/>
    <w:rsid w:val="0080145D"/>
    <w:rsid w:val="00802414"/>
    <w:rsid w:val="008028BA"/>
    <w:rsid w:val="00803854"/>
    <w:rsid w:val="00803CA9"/>
    <w:rsid w:val="00806CA4"/>
    <w:rsid w:val="0081023F"/>
    <w:rsid w:val="00810B22"/>
    <w:rsid w:val="00811D37"/>
    <w:rsid w:val="00812748"/>
    <w:rsid w:val="00813A70"/>
    <w:rsid w:val="0081468F"/>
    <w:rsid w:val="00814ABF"/>
    <w:rsid w:val="0081546B"/>
    <w:rsid w:val="008157FB"/>
    <w:rsid w:val="00815AE3"/>
    <w:rsid w:val="00815CD6"/>
    <w:rsid w:val="008175F2"/>
    <w:rsid w:val="00817F3D"/>
    <w:rsid w:val="00820C9C"/>
    <w:rsid w:val="008242EE"/>
    <w:rsid w:val="00825420"/>
    <w:rsid w:val="00825D06"/>
    <w:rsid w:val="008277DB"/>
    <w:rsid w:val="008279D1"/>
    <w:rsid w:val="00830680"/>
    <w:rsid w:val="008315DA"/>
    <w:rsid w:val="00831A4E"/>
    <w:rsid w:val="00831EBB"/>
    <w:rsid w:val="00833247"/>
    <w:rsid w:val="0083390C"/>
    <w:rsid w:val="008354FD"/>
    <w:rsid w:val="008354FE"/>
    <w:rsid w:val="00837EA6"/>
    <w:rsid w:val="008429D3"/>
    <w:rsid w:val="0084334E"/>
    <w:rsid w:val="00843E73"/>
    <w:rsid w:val="00844F64"/>
    <w:rsid w:val="00845368"/>
    <w:rsid w:val="00845376"/>
    <w:rsid w:val="00846056"/>
    <w:rsid w:val="008467BC"/>
    <w:rsid w:val="00846D79"/>
    <w:rsid w:val="00846DA2"/>
    <w:rsid w:val="0085007B"/>
    <w:rsid w:val="008518E3"/>
    <w:rsid w:val="0085212C"/>
    <w:rsid w:val="008522DE"/>
    <w:rsid w:val="008536DD"/>
    <w:rsid w:val="00854048"/>
    <w:rsid w:val="00854A87"/>
    <w:rsid w:val="00856C84"/>
    <w:rsid w:val="00860ACC"/>
    <w:rsid w:val="00860B01"/>
    <w:rsid w:val="00861C91"/>
    <w:rsid w:val="008627E0"/>
    <w:rsid w:val="00862DF3"/>
    <w:rsid w:val="00863E75"/>
    <w:rsid w:val="00865391"/>
    <w:rsid w:val="0086794A"/>
    <w:rsid w:val="00872781"/>
    <w:rsid w:val="00872924"/>
    <w:rsid w:val="00873490"/>
    <w:rsid w:val="008734DD"/>
    <w:rsid w:val="00874E85"/>
    <w:rsid w:val="0087743D"/>
    <w:rsid w:val="0087785E"/>
    <w:rsid w:val="00877BCB"/>
    <w:rsid w:val="00880821"/>
    <w:rsid w:val="00880908"/>
    <w:rsid w:val="0088407B"/>
    <w:rsid w:val="008841B5"/>
    <w:rsid w:val="00884716"/>
    <w:rsid w:val="00885F83"/>
    <w:rsid w:val="00887664"/>
    <w:rsid w:val="00887AA8"/>
    <w:rsid w:val="0089080C"/>
    <w:rsid w:val="00891185"/>
    <w:rsid w:val="00892A93"/>
    <w:rsid w:val="00893A27"/>
    <w:rsid w:val="00896C60"/>
    <w:rsid w:val="00896D19"/>
    <w:rsid w:val="008A0DE7"/>
    <w:rsid w:val="008A3593"/>
    <w:rsid w:val="008A3E24"/>
    <w:rsid w:val="008A3F51"/>
    <w:rsid w:val="008A4490"/>
    <w:rsid w:val="008A48AF"/>
    <w:rsid w:val="008A75BD"/>
    <w:rsid w:val="008A7D0D"/>
    <w:rsid w:val="008B09AE"/>
    <w:rsid w:val="008B0D20"/>
    <w:rsid w:val="008B1687"/>
    <w:rsid w:val="008B1A1F"/>
    <w:rsid w:val="008B1BE5"/>
    <w:rsid w:val="008B1F02"/>
    <w:rsid w:val="008B2199"/>
    <w:rsid w:val="008B361E"/>
    <w:rsid w:val="008B38E1"/>
    <w:rsid w:val="008B3D95"/>
    <w:rsid w:val="008B3DAA"/>
    <w:rsid w:val="008B4AAA"/>
    <w:rsid w:val="008B4C01"/>
    <w:rsid w:val="008B76D2"/>
    <w:rsid w:val="008C3437"/>
    <w:rsid w:val="008C3608"/>
    <w:rsid w:val="008C4A38"/>
    <w:rsid w:val="008C518C"/>
    <w:rsid w:val="008C5C91"/>
    <w:rsid w:val="008C768B"/>
    <w:rsid w:val="008D03D0"/>
    <w:rsid w:val="008D2D01"/>
    <w:rsid w:val="008D3DAA"/>
    <w:rsid w:val="008D3FA8"/>
    <w:rsid w:val="008D54B0"/>
    <w:rsid w:val="008D7744"/>
    <w:rsid w:val="008D7F92"/>
    <w:rsid w:val="008E0483"/>
    <w:rsid w:val="008E0636"/>
    <w:rsid w:val="008E0AAD"/>
    <w:rsid w:val="008E0C57"/>
    <w:rsid w:val="008E1748"/>
    <w:rsid w:val="008E186D"/>
    <w:rsid w:val="008E1EF0"/>
    <w:rsid w:val="008E2062"/>
    <w:rsid w:val="008E24A8"/>
    <w:rsid w:val="008E2CDC"/>
    <w:rsid w:val="008E3D01"/>
    <w:rsid w:val="008E3DC1"/>
    <w:rsid w:val="008E6C86"/>
    <w:rsid w:val="008E7D8A"/>
    <w:rsid w:val="008F09D4"/>
    <w:rsid w:val="008F17E0"/>
    <w:rsid w:val="008F2134"/>
    <w:rsid w:val="008F285F"/>
    <w:rsid w:val="008F614F"/>
    <w:rsid w:val="008F620A"/>
    <w:rsid w:val="008F6E1F"/>
    <w:rsid w:val="008F746D"/>
    <w:rsid w:val="009009BC"/>
    <w:rsid w:val="00900D6E"/>
    <w:rsid w:val="009027E0"/>
    <w:rsid w:val="0090391D"/>
    <w:rsid w:val="00903FCC"/>
    <w:rsid w:val="00904E87"/>
    <w:rsid w:val="00905834"/>
    <w:rsid w:val="00905B79"/>
    <w:rsid w:val="00905D30"/>
    <w:rsid w:val="00910C2A"/>
    <w:rsid w:val="00911F23"/>
    <w:rsid w:val="009135B5"/>
    <w:rsid w:val="00913D12"/>
    <w:rsid w:val="0091516E"/>
    <w:rsid w:val="00920231"/>
    <w:rsid w:val="0092033B"/>
    <w:rsid w:val="009203C6"/>
    <w:rsid w:val="00921592"/>
    <w:rsid w:val="00922A43"/>
    <w:rsid w:val="00922D29"/>
    <w:rsid w:val="00923ED7"/>
    <w:rsid w:val="0092445C"/>
    <w:rsid w:val="009256CB"/>
    <w:rsid w:val="00927EE1"/>
    <w:rsid w:val="009300E6"/>
    <w:rsid w:val="009319DE"/>
    <w:rsid w:val="0093211A"/>
    <w:rsid w:val="00932F8F"/>
    <w:rsid w:val="009336F4"/>
    <w:rsid w:val="00933BD1"/>
    <w:rsid w:val="00934224"/>
    <w:rsid w:val="00934420"/>
    <w:rsid w:val="00934443"/>
    <w:rsid w:val="00934EB2"/>
    <w:rsid w:val="0093534C"/>
    <w:rsid w:val="00935540"/>
    <w:rsid w:val="00936C1D"/>
    <w:rsid w:val="0093727C"/>
    <w:rsid w:val="00937A3E"/>
    <w:rsid w:val="009401E4"/>
    <w:rsid w:val="00940A4B"/>
    <w:rsid w:val="00942420"/>
    <w:rsid w:val="009438B5"/>
    <w:rsid w:val="0094410D"/>
    <w:rsid w:val="0094461F"/>
    <w:rsid w:val="00944B48"/>
    <w:rsid w:val="00944EA8"/>
    <w:rsid w:val="0094555E"/>
    <w:rsid w:val="00946B7F"/>
    <w:rsid w:val="00946D1C"/>
    <w:rsid w:val="00947AD3"/>
    <w:rsid w:val="009506C1"/>
    <w:rsid w:val="00950A57"/>
    <w:rsid w:val="00953629"/>
    <w:rsid w:val="00955039"/>
    <w:rsid w:val="00955198"/>
    <w:rsid w:val="009564F1"/>
    <w:rsid w:val="00960123"/>
    <w:rsid w:val="00960FAD"/>
    <w:rsid w:val="009632F9"/>
    <w:rsid w:val="009639D4"/>
    <w:rsid w:val="00965052"/>
    <w:rsid w:val="00965BC3"/>
    <w:rsid w:val="009660E8"/>
    <w:rsid w:val="00966B86"/>
    <w:rsid w:val="00967D11"/>
    <w:rsid w:val="00970955"/>
    <w:rsid w:val="0097099E"/>
    <w:rsid w:val="00971D0C"/>
    <w:rsid w:val="0097235E"/>
    <w:rsid w:val="0097290F"/>
    <w:rsid w:val="00974ABE"/>
    <w:rsid w:val="00975484"/>
    <w:rsid w:val="009762A7"/>
    <w:rsid w:val="00976478"/>
    <w:rsid w:val="0097649D"/>
    <w:rsid w:val="009779D9"/>
    <w:rsid w:val="00980F22"/>
    <w:rsid w:val="0098188C"/>
    <w:rsid w:val="009826E4"/>
    <w:rsid w:val="00982D77"/>
    <w:rsid w:val="00983A47"/>
    <w:rsid w:val="009868F6"/>
    <w:rsid w:val="00990135"/>
    <w:rsid w:val="009909DF"/>
    <w:rsid w:val="0099196C"/>
    <w:rsid w:val="00991F34"/>
    <w:rsid w:val="0099270D"/>
    <w:rsid w:val="00992C87"/>
    <w:rsid w:val="00994CBB"/>
    <w:rsid w:val="009954CB"/>
    <w:rsid w:val="00995755"/>
    <w:rsid w:val="00997568"/>
    <w:rsid w:val="00997CD0"/>
    <w:rsid w:val="009A125F"/>
    <w:rsid w:val="009A66D4"/>
    <w:rsid w:val="009A70AE"/>
    <w:rsid w:val="009B21D4"/>
    <w:rsid w:val="009B387E"/>
    <w:rsid w:val="009B47B9"/>
    <w:rsid w:val="009B6E80"/>
    <w:rsid w:val="009C1083"/>
    <w:rsid w:val="009C1890"/>
    <w:rsid w:val="009C375B"/>
    <w:rsid w:val="009C4723"/>
    <w:rsid w:val="009C48FF"/>
    <w:rsid w:val="009C56F1"/>
    <w:rsid w:val="009C6673"/>
    <w:rsid w:val="009C7DA4"/>
    <w:rsid w:val="009D1797"/>
    <w:rsid w:val="009D267A"/>
    <w:rsid w:val="009D3BD3"/>
    <w:rsid w:val="009D50F4"/>
    <w:rsid w:val="009D6259"/>
    <w:rsid w:val="009D6C60"/>
    <w:rsid w:val="009E1086"/>
    <w:rsid w:val="009E2446"/>
    <w:rsid w:val="009E2DCB"/>
    <w:rsid w:val="009E2DDA"/>
    <w:rsid w:val="009E3199"/>
    <w:rsid w:val="009E3A89"/>
    <w:rsid w:val="009E78E3"/>
    <w:rsid w:val="009F0996"/>
    <w:rsid w:val="009F0B7D"/>
    <w:rsid w:val="009F1055"/>
    <w:rsid w:val="009F1786"/>
    <w:rsid w:val="009F1A0F"/>
    <w:rsid w:val="009F261A"/>
    <w:rsid w:val="009F36E4"/>
    <w:rsid w:val="009F3EFA"/>
    <w:rsid w:val="009F419F"/>
    <w:rsid w:val="009F4E72"/>
    <w:rsid w:val="009F5C3C"/>
    <w:rsid w:val="009F68AD"/>
    <w:rsid w:val="00A004F0"/>
    <w:rsid w:val="00A00858"/>
    <w:rsid w:val="00A0089C"/>
    <w:rsid w:val="00A01589"/>
    <w:rsid w:val="00A01B68"/>
    <w:rsid w:val="00A03130"/>
    <w:rsid w:val="00A0325C"/>
    <w:rsid w:val="00A03F5C"/>
    <w:rsid w:val="00A05FC5"/>
    <w:rsid w:val="00A07A2A"/>
    <w:rsid w:val="00A10311"/>
    <w:rsid w:val="00A10715"/>
    <w:rsid w:val="00A112B0"/>
    <w:rsid w:val="00A13881"/>
    <w:rsid w:val="00A13DA1"/>
    <w:rsid w:val="00A13FF9"/>
    <w:rsid w:val="00A14178"/>
    <w:rsid w:val="00A14DEB"/>
    <w:rsid w:val="00A15CA6"/>
    <w:rsid w:val="00A17408"/>
    <w:rsid w:val="00A23242"/>
    <w:rsid w:val="00A24322"/>
    <w:rsid w:val="00A30994"/>
    <w:rsid w:val="00A3101E"/>
    <w:rsid w:val="00A3176E"/>
    <w:rsid w:val="00A31824"/>
    <w:rsid w:val="00A31D26"/>
    <w:rsid w:val="00A34057"/>
    <w:rsid w:val="00A34706"/>
    <w:rsid w:val="00A348A3"/>
    <w:rsid w:val="00A34AFB"/>
    <w:rsid w:val="00A34B35"/>
    <w:rsid w:val="00A361C5"/>
    <w:rsid w:val="00A366ED"/>
    <w:rsid w:val="00A366FA"/>
    <w:rsid w:val="00A407FA"/>
    <w:rsid w:val="00A4087E"/>
    <w:rsid w:val="00A442D7"/>
    <w:rsid w:val="00A44A01"/>
    <w:rsid w:val="00A46AF5"/>
    <w:rsid w:val="00A47F79"/>
    <w:rsid w:val="00A47FE8"/>
    <w:rsid w:val="00A511A1"/>
    <w:rsid w:val="00A52D8F"/>
    <w:rsid w:val="00A52EBD"/>
    <w:rsid w:val="00A52ECE"/>
    <w:rsid w:val="00A5469F"/>
    <w:rsid w:val="00A5640F"/>
    <w:rsid w:val="00A64D8D"/>
    <w:rsid w:val="00A6506D"/>
    <w:rsid w:val="00A66569"/>
    <w:rsid w:val="00A70021"/>
    <w:rsid w:val="00A7093F"/>
    <w:rsid w:val="00A71A70"/>
    <w:rsid w:val="00A71FFC"/>
    <w:rsid w:val="00A76E5D"/>
    <w:rsid w:val="00A800F7"/>
    <w:rsid w:val="00A80669"/>
    <w:rsid w:val="00A80769"/>
    <w:rsid w:val="00A80B13"/>
    <w:rsid w:val="00A822E0"/>
    <w:rsid w:val="00A83F11"/>
    <w:rsid w:val="00A840C6"/>
    <w:rsid w:val="00A856AA"/>
    <w:rsid w:val="00A85B7A"/>
    <w:rsid w:val="00A860E9"/>
    <w:rsid w:val="00A869E5"/>
    <w:rsid w:val="00A86D1C"/>
    <w:rsid w:val="00A86F4E"/>
    <w:rsid w:val="00A91B8C"/>
    <w:rsid w:val="00A92058"/>
    <w:rsid w:val="00A92148"/>
    <w:rsid w:val="00A92165"/>
    <w:rsid w:val="00A92D00"/>
    <w:rsid w:val="00A95992"/>
    <w:rsid w:val="00A96A95"/>
    <w:rsid w:val="00A97928"/>
    <w:rsid w:val="00A97BD0"/>
    <w:rsid w:val="00AA02FE"/>
    <w:rsid w:val="00AA3322"/>
    <w:rsid w:val="00AA4FC3"/>
    <w:rsid w:val="00AA5140"/>
    <w:rsid w:val="00AA6D42"/>
    <w:rsid w:val="00AA7176"/>
    <w:rsid w:val="00AA73B6"/>
    <w:rsid w:val="00AB2618"/>
    <w:rsid w:val="00AB3608"/>
    <w:rsid w:val="00AB3A58"/>
    <w:rsid w:val="00AB5509"/>
    <w:rsid w:val="00AB5978"/>
    <w:rsid w:val="00AB5D0F"/>
    <w:rsid w:val="00AB6894"/>
    <w:rsid w:val="00AB71A6"/>
    <w:rsid w:val="00AC0259"/>
    <w:rsid w:val="00AC3759"/>
    <w:rsid w:val="00AC4512"/>
    <w:rsid w:val="00AC46FC"/>
    <w:rsid w:val="00AC5726"/>
    <w:rsid w:val="00AC5CFC"/>
    <w:rsid w:val="00AC7435"/>
    <w:rsid w:val="00AC75C9"/>
    <w:rsid w:val="00AC7F7D"/>
    <w:rsid w:val="00AD0E80"/>
    <w:rsid w:val="00AD230F"/>
    <w:rsid w:val="00AD2498"/>
    <w:rsid w:val="00AD27AE"/>
    <w:rsid w:val="00AD2CF5"/>
    <w:rsid w:val="00AD40C4"/>
    <w:rsid w:val="00AD4672"/>
    <w:rsid w:val="00AD6A30"/>
    <w:rsid w:val="00AD6BF8"/>
    <w:rsid w:val="00AE1C48"/>
    <w:rsid w:val="00AE2E0F"/>
    <w:rsid w:val="00AE2E99"/>
    <w:rsid w:val="00AE4034"/>
    <w:rsid w:val="00AE4F25"/>
    <w:rsid w:val="00AE5124"/>
    <w:rsid w:val="00AE76DE"/>
    <w:rsid w:val="00AF00EA"/>
    <w:rsid w:val="00AF220D"/>
    <w:rsid w:val="00B0060F"/>
    <w:rsid w:val="00B02754"/>
    <w:rsid w:val="00B03939"/>
    <w:rsid w:val="00B05859"/>
    <w:rsid w:val="00B0732C"/>
    <w:rsid w:val="00B07607"/>
    <w:rsid w:val="00B1026A"/>
    <w:rsid w:val="00B10B64"/>
    <w:rsid w:val="00B11D76"/>
    <w:rsid w:val="00B12485"/>
    <w:rsid w:val="00B126F7"/>
    <w:rsid w:val="00B12CFF"/>
    <w:rsid w:val="00B12F2E"/>
    <w:rsid w:val="00B13C41"/>
    <w:rsid w:val="00B15375"/>
    <w:rsid w:val="00B16035"/>
    <w:rsid w:val="00B163F1"/>
    <w:rsid w:val="00B170E0"/>
    <w:rsid w:val="00B175AA"/>
    <w:rsid w:val="00B17D95"/>
    <w:rsid w:val="00B26130"/>
    <w:rsid w:val="00B3033C"/>
    <w:rsid w:val="00B303AD"/>
    <w:rsid w:val="00B30810"/>
    <w:rsid w:val="00B31C12"/>
    <w:rsid w:val="00B323F6"/>
    <w:rsid w:val="00B32513"/>
    <w:rsid w:val="00B331A2"/>
    <w:rsid w:val="00B35C03"/>
    <w:rsid w:val="00B35C9E"/>
    <w:rsid w:val="00B40B34"/>
    <w:rsid w:val="00B40E8C"/>
    <w:rsid w:val="00B41235"/>
    <w:rsid w:val="00B41612"/>
    <w:rsid w:val="00B447C9"/>
    <w:rsid w:val="00B44979"/>
    <w:rsid w:val="00B44D62"/>
    <w:rsid w:val="00B458B9"/>
    <w:rsid w:val="00B47034"/>
    <w:rsid w:val="00B478F7"/>
    <w:rsid w:val="00B47E06"/>
    <w:rsid w:val="00B52654"/>
    <w:rsid w:val="00B528FA"/>
    <w:rsid w:val="00B52995"/>
    <w:rsid w:val="00B52EA2"/>
    <w:rsid w:val="00B54160"/>
    <w:rsid w:val="00B54EDA"/>
    <w:rsid w:val="00B55CBE"/>
    <w:rsid w:val="00B56954"/>
    <w:rsid w:val="00B57902"/>
    <w:rsid w:val="00B601BD"/>
    <w:rsid w:val="00B604F1"/>
    <w:rsid w:val="00B615AE"/>
    <w:rsid w:val="00B61D3D"/>
    <w:rsid w:val="00B62B24"/>
    <w:rsid w:val="00B62E85"/>
    <w:rsid w:val="00B634ED"/>
    <w:rsid w:val="00B641D2"/>
    <w:rsid w:val="00B642EC"/>
    <w:rsid w:val="00B64430"/>
    <w:rsid w:val="00B64518"/>
    <w:rsid w:val="00B66DA1"/>
    <w:rsid w:val="00B66DB1"/>
    <w:rsid w:val="00B67A11"/>
    <w:rsid w:val="00B7053B"/>
    <w:rsid w:val="00B70BE4"/>
    <w:rsid w:val="00B71B9E"/>
    <w:rsid w:val="00B71F41"/>
    <w:rsid w:val="00B72437"/>
    <w:rsid w:val="00B732D1"/>
    <w:rsid w:val="00B73608"/>
    <w:rsid w:val="00B73A70"/>
    <w:rsid w:val="00B73CB0"/>
    <w:rsid w:val="00B7575F"/>
    <w:rsid w:val="00B76432"/>
    <w:rsid w:val="00B76433"/>
    <w:rsid w:val="00B77F39"/>
    <w:rsid w:val="00B80383"/>
    <w:rsid w:val="00B816FB"/>
    <w:rsid w:val="00B81F45"/>
    <w:rsid w:val="00B820D3"/>
    <w:rsid w:val="00B8255E"/>
    <w:rsid w:val="00B82834"/>
    <w:rsid w:val="00B828CB"/>
    <w:rsid w:val="00B82A0A"/>
    <w:rsid w:val="00B84178"/>
    <w:rsid w:val="00B8792A"/>
    <w:rsid w:val="00B90481"/>
    <w:rsid w:val="00B90EAE"/>
    <w:rsid w:val="00B90F7E"/>
    <w:rsid w:val="00B923C1"/>
    <w:rsid w:val="00B92D87"/>
    <w:rsid w:val="00B943B4"/>
    <w:rsid w:val="00B94B37"/>
    <w:rsid w:val="00B950E4"/>
    <w:rsid w:val="00B9569C"/>
    <w:rsid w:val="00B957F0"/>
    <w:rsid w:val="00B9674F"/>
    <w:rsid w:val="00B969EC"/>
    <w:rsid w:val="00B96F41"/>
    <w:rsid w:val="00B96FB5"/>
    <w:rsid w:val="00B9750D"/>
    <w:rsid w:val="00BA1724"/>
    <w:rsid w:val="00BA4280"/>
    <w:rsid w:val="00BA5B0B"/>
    <w:rsid w:val="00BA755A"/>
    <w:rsid w:val="00BB0529"/>
    <w:rsid w:val="00BB0BE7"/>
    <w:rsid w:val="00BB1A2F"/>
    <w:rsid w:val="00BB31A4"/>
    <w:rsid w:val="00BB3407"/>
    <w:rsid w:val="00BB416B"/>
    <w:rsid w:val="00BB4204"/>
    <w:rsid w:val="00BB441B"/>
    <w:rsid w:val="00BB519B"/>
    <w:rsid w:val="00BB5F7D"/>
    <w:rsid w:val="00BB7A18"/>
    <w:rsid w:val="00BB7C00"/>
    <w:rsid w:val="00BC1291"/>
    <w:rsid w:val="00BC1AB8"/>
    <w:rsid w:val="00BC1B92"/>
    <w:rsid w:val="00BC1BAD"/>
    <w:rsid w:val="00BC3256"/>
    <w:rsid w:val="00BC4A0D"/>
    <w:rsid w:val="00BC4D90"/>
    <w:rsid w:val="00BD191C"/>
    <w:rsid w:val="00BD1F42"/>
    <w:rsid w:val="00BD28C7"/>
    <w:rsid w:val="00BD2D84"/>
    <w:rsid w:val="00BD3A83"/>
    <w:rsid w:val="00BD3B44"/>
    <w:rsid w:val="00BD4DCD"/>
    <w:rsid w:val="00BD58DE"/>
    <w:rsid w:val="00BD5CAD"/>
    <w:rsid w:val="00BD777E"/>
    <w:rsid w:val="00BE1C17"/>
    <w:rsid w:val="00BE2EEC"/>
    <w:rsid w:val="00BE3150"/>
    <w:rsid w:val="00BE35FD"/>
    <w:rsid w:val="00BE44B1"/>
    <w:rsid w:val="00BE5E93"/>
    <w:rsid w:val="00BE6576"/>
    <w:rsid w:val="00BE7B8B"/>
    <w:rsid w:val="00BE7E64"/>
    <w:rsid w:val="00BF0D3E"/>
    <w:rsid w:val="00BF11EB"/>
    <w:rsid w:val="00BF194C"/>
    <w:rsid w:val="00BF1B2F"/>
    <w:rsid w:val="00BF232C"/>
    <w:rsid w:val="00BF2754"/>
    <w:rsid w:val="00BF408A"/>
    <w:rsid w:val="00BF4146"/>
    <w:rsid w:val="00BF487E"/>
    <w:rsid w:val="00BF7064"/>
    <w:rsid w:val="00C01F2E"/>
    <w:rsid w:val="00C01F9C"/>
    <w:rsid w:val="00C0277D"/>
    <w:rsid w:val="00C02AB7"/>
    <w:rsid w:val="00C03AA4"/>
    <w:rsid w:val="00C11F64"/>
    <w:rsid w:val="00C12935"/>
    <w:rsid w:val="00C1297A"/>
    <w:rsid w:val="00C132A0"/>
    <w:rsid w:val="00C14083"/>
    <w:rsid w:val="00C14B34"/>
    <w:rsid w:val="00C15F9B"/>
    <w:rsid w:val="00C16ACB"/>
    <w:rsid w:val="00C1755D"/>
    <w:rsid w:val="00C17692"/>
    <w:rsid w:val="00C17794"/>
    <w:rsid w:val="00C2115D"/>
    <w:rsid w:val="00C21166"/>
    <w:rsid w:val="00C217A8"/>
    <w:rsid w:val="00C21D0B"/>
    <w:rsid w:val="00C21F16"/>
    <w:rsid w:val="00C2213E"/>
    <w:rsid w:val="00C25130"/>
    <w:rsid w:val="00C260E3"/>
    <w:rsid w:val="00C261B9"/>
    <w:rsid w:val="00C270A2"/>
    <w:rsid w:val="00C27171"/>
    <w:rsid w:val="00C3029B"/>
    <w:rsid w:val="00C30F5D"/>
    <w:rsid w:val="00C32289"/>
    <w:rsid w:val="00C33861"/>
    <w:rsid w:val="00C350B7"/>
    <w:rsid w:val="00C35137"/>
    <w:rsid w:val="00C35659"/>
    <w:rsid w:val="00C35A61"/>
    <w:rsid w:val="00C4007B"/>
    <w:rsid w:val="00C40B49"/>
    <w:rsid w:val="00C41EB1"/>
    <w:rsid w:val="00C4225E"/>
    <w:rsid w:val="00C45105"/>
    <w:rsid w:val="00C45B15"/>
    <w:rsid w:val="00C45C9E"/>
    <w:rsid w:val="00C46E1D"/>
    <w:rsid w:val="00C51AAF"/>
    <w:rsid w:val="00C521E5"/>
    <w:rsid w:val="00C52E28"/>
    <w:rsid w:val="00C53F0F"/>
    <w:rsid w:val="00C54922"/>
    <w:rsid w:val="00C56640"/>
    <w:rsid w:val="00C572F6"/>
    <w:rsid w:val="00C57AC5"/>
    <w:rsid w:val="00C57D9E"/>
    <w:rsid w:val="00C60934"/>
    <w:rsid w:val="00C60EB8"/>
    <w:rsid w:val="00C60FFB"/>
    <w:rsid w:val="00C61593"/>
    <w:rsid w:val="00C62415"/>
    <w:rsid w:val="00C631F0"/>
    <w:rsid w:val="00C635CF"/>
    <w:rsid w:val="00C64852"/>
    <w:rsid w:val="00C67962"/>
    <w:rsid w:val="00C67C99"/>
    <w:rsid w:val="00C70984"/>
    <w:rsid w:val="00C7291C"/>
    <w:rsid w:val="00C72B74"/>
    <w:rsid w:val="00C72DEC"/>
    <w:rsid w:val="00C731DE"/>
    <w:rsid w:val="00C73C41"/>
    <w:rsid w:val="00C741CB"/>
    <w:rsid w:val="00C7438C"/>
    <w:rsid w:val="00C74CCB"/>
    <w:rsid w:val="00C7744C"/>
    <w:rsid w:val="00C77936"/>
    <w:rsid w:val="00C80876"/>
    <w:rsid w:val="00C80DB4"/>
    <w:rsid w:val="00C81873"/>
    <w:rsid w:val="00C826F9"/>
    <w:rsid w:val="00C8417E"/>
    <w:rsid w:val="00C8636E"/>
    <w:rsid w:val="00C87D78"/>
    <w:rsid w:val="00C90823"/>
    <w:rsid w:val="00C91510"/>
    <w:rsid w:val="00C91EA8"/>
    <w:rsid w:val="00C9267B"/>
    <w:rsid w:val="00C94478"/>
    <w:rsid w:val="00C94632"/>
    <w:rsid w:val="00C96D5B"/>
    <w:rsid w:val="00C9783C"/>
    <w:rsid w:val="00CA11C2"/>
    <w:rsid w:val="00CA1B1A"/>
    <w:rsid w:val="00CA4115"/>
    <w:rsid w:val="00CA48B0"/>
    <w:rsid w:val="00CA4D71"/>
    <w:rsid w:val="00CA56EA"/>
    <w:rsid w:val="00CA660E"/>
    <w:rsid w:val="00CA6C0F"/>
    <w:rsid w:val="00CB0152"/>
    <w:rsid w:val="00CB0FEE"/>
    <w:rsid w:val="00CB1F16"/>
    <w:rsid w:val="00CB37B1"/>
    <w:rsid w:val="00CB40CA"/>
    <w:rsid w:val="00CB5B93"/>
    <w:rsid w:val="00CB5C82"/>
    <w:rsid w:val="00CB6F8E"/>
    <w:rsid w:val="00CC0EDA"/>
    <w:rsid w:val="00CC2369"/>
    <w:rsid w:val="00CC3807"/>
    <w:rsid w:val="00CC40AC"/>
    <w:rsid w:val="00CC642D"/>
    <w:rsid w:val="00CC6CFD"/>
    <w:rsid w:val="00CC712E"/>
    <w:rsid w:val="00CC7342"/>
    <w:rsid w:val="00CC74E9"/>
    <w:rsid w:val="00CC7D24"/>
    <w:rsid w:val="00CD00CC"/>
    <w:rsid w:val="00CD04FF"/>
    <w:rsid w:val="00CD23A0"/>
    <w:rsid w:val="00CD2E0E"/>
    <w:rsid w:val="00CD493B"/>
    <w:rsid w:val="00CD52C3"/>
    <w:rsid w:val="00CD5BC4"/>
    <w:rsid w:val="00CD5F4F"/>
    <w:rsid w:val="00CD6DCF"/>
    <w:rsid w:val="00CD7106"/>
    <w:rsid w:val="00CD7F6E"/>
    <w:rsid w:val="00CE0C83"/>
    <w:rsid w:val="00CE300A"/>
    <w:rsid w:val="00CE419A"/>
    <w:rsid w:val="00CE4A63"/>
    <w:rsid w:val="00CE5BDF"/>
    <w:rsid w:val="00CE70D9"/>
    <w:rsid w:val="00CF0851"/>
    <w:rsid w:val="00CF0EA3"/>
    <w:rsid w:val="00CF14EE"/>
    <w:rsid w:val="00CF17DF"/>
    <w:rsid w:val="00CF25D6"/>
    <w:rsid w:val="00CF2664"/>
    <w:rsid w:val="00CF3511"/>
    <w:rsid w:val="00CF4230"/>
    <w:rsid w:val="00CF4EBE"/>
    <w:rsid w:val="00CF6208"/>
    <w:rsid w:val="00D01E18"/>
    <w:rsid w:val="00D02730"/>
    <w:rsid w:val="00D034B7"/>
    <w:rsid w:val="00D035D5"/>
    <w:rsid w:val="00D03CDD"/>
    <w:rsid w:val="00D044F7"/>
    <w:rsid w:val="00D04964"/>
    <w:rsid w:val="00D04F22"/>
    <w:rsid w:val="00D05C0E"/>
    <w:rsid w:val="00D10A38"/>
    <w:rsid w:val="00D12C82"/>
    <w:rsid w:val="00D12F64"/>
    <w:rsid w:val="00D137EC"/>
    <w:rsid w:val="00D13B88"/>
    <w:rsid w:val="00D14F16"/>
    <w:rsid w:val="00D15698"/>
    <w:rsid w:val="00D15AA4"/>
    <w:rsid w:val="00D15AB8"/>
    <w:rsid w:val="00D17F1C"/>
    <w:rsid w:val="00D20B4B"/>
    <w:rsid w:val="00D2255E"/>
    <w:rsid w:val="00D23927"/>
    <w:rsid w:val="00D268E7"/>
    <w:rsid w:val="00D271D3"/>
    <w:rsid w:val="00D310B7"/>
    <w:rsid w:val="00D31D2A"/>
    <w:rsid w:val="00D32B72"/>
    <w:rsid w:val="00D3459C"/>
    <w:rsid w:val="00D3470C"/>
    <w:rsid w:val="00D34ECD"/>
    <w:rsid w:val="00D362BC"/>
    <w:rsid w:val="00D36E5D"/>
    <w:rsid w:val="00D37A3F"/>
    <w:rsid w:val="00D37EAB"/>
    <w:rsid w:val="00D40850"/>
    <w:rsid w:val="00D41287"/>
    <w:rsid w:val="00D41AC8"/>
    <w:rsid w:val="00D41EBB"/>
    <w:rsid w:val="00D4363F"/>
    <w:rsid w:val="00D44537"/>
    <w:rsid w:val="00D44698"/>
    <w:rsid w:val="00D44CB1"/>
    <w:rsid w:val="00D45126"/>
    <w:rsid w:val="00D45505"/>
    <w:rsid w:val="00D470D5"/>
    <w:rsid w:val="00D4714C"/>
    <w:rsid w:val="00D515E5"/>
    <w:rsid w:val="00D51885"/>
    <w:rsid w:val="00D54F06"/>
    <w:rsid w:val="00D54FC7"/>
    <w:rsid w:val="00D5554C"/>
    <w:rsid w:val="00D56F29"/>
    <w:rsid w:val="00D61216"/>
    <w:rsid w:val="00D61F80"/>
    <w:rsid w:val="00D63258"/>
    <w:rsid w:val="00D659DD"/>
    <w:rsid w:val="00D663CA"/>
    <w:rsid w:val="00D66802"/>
    <w:rsid w:val="00D674E8"/>
    <w:rsid w:val="00D73B0A"/>
    <w:rsid w:val="00D73E35"/>
    <w:rsid w:val="00D73F30"/>
    <w:rsid w:val="00D75233"/>
    <w:rsid w:val="00D75ED8"/>
    <w:rsid w:val="00D76339"/>
    <w:rsid w:val="00D7648D"/>
    <w:rsid w:val="00D76E65"/>
    <w:rsid w:val="00D8197E"/>
    <w:rsid w:val="00D82A56"/>
    <w:rsid w:val="00D82DAE"/>
    <w:rsid w:val="00D84016"/>
    <w:rsid w:val="00D855F4"/>
    <w:rsid w:val="00D86241"/>
    <w:rsid w:val="00D877DB"/>
    <w:rsid w:val="00D91776"/>
    <w:rsid w:val="00D91CE7"/>
    <w:rsid w:val="00D91F07"/>
    <w:rsid w:val="00D927B8"/>
    <w:rsid w:val="00D933EF"/>
    <w:rsid w:val="00D93DF9"/>
    <w:rsid w:val="00D940F3"/>
    <w:rsid w:val="00D94920"/>
    <w:rsid w:val="00D952E9"/>
    <w:rsid w:val="00D96EE7"/>
    <w:rsid w:val="00D97937"/>
    <w:rsid w:val="00DA0D11"/>
    <w:rsid w:val="00DA19C6"/>
    <w:rsid w:val="00DA1B9D"/>
    <w:rsid w:val="00DA1F67"/>
    <w:rsid w:val="00DA3451"/>
    <w:rsid w:val="00DA45D8"/>
    <w:rsid w:val="00DA4B58"/>
    <w:rsid w:val="00DA5708"/>
    <w:rsid w:val="00DA57CD"/>
    <w:rsid w:val="00DB0536"/>
    <w:rsid w:val="00DB140D"/>
    <w:rsid w:val="00DB191E"/>
    <w:rsid w:val="00DB293F"/>
    <w:rsid w:val="00DB3FCA"/>
    <w:rsid w:val="00DB4ABD"/>
    <w:rsid w:val="00DB4B30"/>
    <w:rsid w:val="00DB4B68"/>
    <w:rsid w:val="00DB4CB0"/>
    <w:rsid w:val="00DC0572"/>
    <w:rsid w:val="00DC47AB"/>
    <w:rsid w:val="00DC5336"/>
    <w:rsid w:val="00DC5DDB"/>
    <w:rsid w:val="00DC76EB"/>
    <w:rsid w:val="00DC7E37"/>
    <w:rsid w:val="00DD1590"/>
    <w:rsid w:val="00DD1838"/>
    <w:rsid w:val="00DD242D"/>
    <w:rsid w:val="00DD25BC"/>
    <w:rsid w:val="00DD2DE8"/>
    <w:rsid w:val="00DD3B93"/>
    <w:rsid w:val="00DD54DF"/>
    <w:rsid w:val="00DE17A1"/>
    <w:rsid w:val="00DE1F5C"/>
    <w:rsid w:val="00DE28BA"/>
    <w:rsid w:val="00DE3B24"/>
    <w:rsid w:val="00DE6C5F"/>
    <w:rsid w:val="00DF05A8"/>
    <w:rsid w:val="00DF1022"/>
    <w:rsid w:val="00DF2CBE"/>
    <w:rsid w:val="00DF3763"/>
    <w:rsid w:val="00DF3F06"/>
    <w:rsid w:val="00DF430D"/>
    <w:rsid w:val="00DF6B5F"/>
    <w:rsid w:val="00E009F0"/>
    <w:rsid w:val="00E03BB7"/>
    <w:rsid w:val="00E03CB2"/>
    <w:rsid w:val="00E03F19"/>
    <w:rsid w:val="00E04170"/>
    <w:rsid w:val="00E049D4"/>
    <w:rsid w:val="00E0608B"/>
    <w:rsid w:val="00E06DD9"/>
    <w:rsid w:val="00E07F1F"/>
    <w:rsid w:val="00E11A22"/>
    <w:rsid w:val="00E11C35"/>
    <w:rsid w:val="00E149B8"/>
    <w:rsid w:val="00E14D37"/>
    <w:rsid w:val="00E16324"/>
    <w:rsid w:val="00E166CA"/>
    <w:rsid w:val="00E16FC1"/>
    <w:rsid w:val="00E216B9"/>
    <w:rsid w:val="00E22851"/>
    <w:rsid w:val="00E23104"/>
    <w:rsid w:val="00E25CD8"/>
    <w:rsid w:val="00E2627D"/>
    <w:rsid w:val="00E26477"/>
    <w:rsid w:val="00E30785"/>
    <w:rsid w:val="00E3126F"/>
    <w:rsid w:val="00E324A7"/>
    <w:rsid w:val="00E3498E"/>
    <w:rsid w:val="00E34AE0"/>
    <w:rsid w:val="00E3622A"/>
    <w:rsid w:val="00E369B5"/>
    <w:rsid w:val="00E37864"/>
    <w:rsid w:val="00E378A9"/>
    <w:rsid w:val="00E42546"/>
    <w:rsid w:val="00E42EFF"/>
    <w:rsid w:val="00E43E20"/>
    <w:rsid w:val="00E443F9"/>
    <w:rsid w:val="00E45FB4"/>
    <w:rsid w:val="00E46BB2"/>
    <w:rsid w:val="00E5157C"/>
    <w:rsid w:val="00E53BB1"/>
    <w:rsid w:val="00E55601"/>
    <w:rsid w:val="00E55BA5"/>
    <w:rsid w:val="00E70C42"/>
    <w:rsid w:val="00E71F94"/>
    <w:rsid w:val="00E7283D"/>
    <w:rsid w:val="00E7384F"/>
    <w:rsid w:val="00E74248"/>
    <w:rsid w:val="00E7532C"/>
    <w:rsid w:val="00E75CB0"/>
    <w:rsid w:val="00E76C37"/>
    <w:rsid w:val="00E76C8D"/>
    <w:rsid w:val="00E779B6"/>
    <w:rsid w:val="00E77C38"/>
    <w:rsid w:val="00E80BDD"/>
    <w:rsid w:val="00E80FB8"/>
    <w:rsid w:val="00E81675"/>
    <w:rsid w:val="00E82B40"/>
    <w:rsid w:val="00E83665"/>
    <w:rsid w:val="00E836EC"/>
    <w:rsid w:val="00E83E7F"/>
    <w:rsid w:val="00E84EFF"/>
    <w:rsid w:val="00E850BC"/>
    <w:rsid w:val="00E850DE"/>
    <w:rsid w:val="00E85A54"/>
    <w:rsid w:val="00E860C4"/>
    <w:rsid w:val="00E86A30"/>
    <w:rsid w:val="00E86E05"/>
    <w:rsid w:val="00E878CB"/>
    <w:rsid w:val="00E87C9E"/>
    <w:rsid w:val="00E87D2B"/>
    <w:rsid w:val="00E90156"/>
    <w:rsid w:val="00E9100C"/>
    <w:rsid w:val="00E9374D"/>
    <w:rsid w:val="00E93E11"/>
    <w:rsid w:val="00E93E67"/>
    <w:rsid w:val="00E945A3"/>
    <w:rsid w:val="00E94844"/>
    <w:rsid w:val="00E9499F"/>
    <w:rsid w:val="00E96424"/>
    <w:rsid w:val="00E9663C"/>
    <w:rsid w:val="00E97FD1"/>
    <w:rsid w:val="00EA01C2"/>
    <w:rsid w:val="00EA05BA"/>
    <w:rsid w:val="00EA14B1"/>
    <w:rsid w:val="00EA216C"/>
    <w:rsid w:val="00EA3585"/>
    <w:rsid w:val="00EA36BA"/>
    <w:rsid w:val="00EA424F"/>
    <w:rsid w:val="00EA468B"/>
    <w:rsid w:val="00EA5A75"/>
    <w:rsid w:val="00EA5AA7"/>
    <w:rsid w:val="00EA67E8"/>
    <w:rsid w:val="00EA6F27"/>
    <w:rsid w:val="00EA77D4"/>
    <w:rsid w:val="00EA794F"/>
    <w:rsid w:val="00EB4832"/>
    <w:rsid w:val="00EB50CB"/>
    <w:rsid w:val="00EB6C3E"/>
    <w:rsid w:val="00EC0268"/>
    <w:rsid w:val="00EC2BAC"/>
    <w:rsid w:val="00EC2EAA"/>
    <w:rsid w:val="00EC622D"/>
    <w:rsid w:val="00EC665E"/>
    <w:rsid w:val="00EC6E79"/>
    <w:rsid w:val="00EC70DD"/>
    <w:rsid w:val="00EC7DA4"/>
    <w:rsid w:val="00ED0181"/>
    <w:rsid w:val="00ED06D1"/>
    <w:rsid w:val="00ED275B"/>
    <w:rsid w:val="00ED3998"/>
    <w:rsid w:val="00ED4A14"/>
    <w:rsid w:val="00ED633D"/>
    <w:rsid w:val="00ED656B"/>
    <w:rsid w:val="00ED7F67"/>
    <w:rsid w:val="00EE15A1"/>
    <w:rsid w:val="00EE2D60"/>
    <w:rsid w:val="00EE3B2A"/>
    <w:rsid w:val="00EE5FF3"/>
    <w:rsid w:val="00EF02DE"/>
    <w:rsid w:val="00EF13A7"/>
    <w:rsid w:val="00EF1DF3"/>
    <w:rsid w:val="00EF40F8"/>
    <w:rsid w:val="00EF446F"/>
    <w:rsid w:val="00EF4786"/>
    <w:rsid w:val="00EF4E61"/>
    <w:rsid w:val="00EF5907"/>
    <w:rsid w:val="00EF5A18"/>
    <w:rsid w:val="00EF6E09"/>
    <w:rsid w:val="00F011BA"/>
    <w:rsid w:val="00F01CB9"/>
    <w:rsid w:val="00F03E2F"/>
    <w:rsid w:val="00F04A11"/>
    <w:rsid w:val="00F05438"/>
    <w:rsid w:val="00F0558C"/>
    <w:rsid w:val="00F066F9"/>
    <w:rsid w:val="00F11373"/>
    <w:rsid w:val="00F114D7"/>
    <w:rsid w:val="00F12563"/>
    <w:rsid w:val="00F12913"/>
    <w:rsid w:val="00F134F6"/>
    <w:rsid w:val="00F14418"/>
    <w:rsid w:val="00F148B2"/>
    <w:rsid w:val="00F1591F"/>
    <w:rsid w:val="00F15F18"/>
    <w:rsid w:val="00F165D1"/>
    <w:rsid w:val="00F16C09"/>
    <w:rsid w:val="00F236AF"/>
    <w:rsid w:val="00F247BC"/>
    <w:rsid w:val="00F258E3"/>
    <w:rsid w:val="00F25D8F"/>
    <w:rsid w:val="00F25FBF"/>
    <w:rsid w:val="00F27AE7"/>
    <w:rsid w:val="00F27FE4"/>
    <w:rsid w:val="00F3100A"/>
    <w:rsid w:val="00F316E1"/>
    <w:rsid w:val="00F3226B"/>
    <w:rsid w:val="00F32A86"/>
    <w:rsid w:val="00F331AC"/>
    <w:rsid w:val="00F342C7"/>
    <w:rsid w:val="00F34532"/>
    <w:rsid w:val="00F35C53"/>
    <w:rsid w:val="00F36627"/>
    <w:rsid w:val="00F366C2"/>
    <w:rsid w:val="00F37182"/>
    <w:rsid w:val="00F37A06"/>
    <w:rsid w:val="00F405F9"/>
    <w:rsid w:val="00F41246"/>
    <w:rsid w:val="00F43F19"/>
    <w:rsid w:val="00F46123"/>
    <w:rsid w:val="00F4637E"/>
    <w:rsid w:val="00F46690"/>
    <w:rsid w:val="00F46FF8"/>
    <w:rsid w:val="00F47205"/>
    <w:rsid w:val="00F47A93"/>
    <w:rsid w:val="00F50326"/>
    <w:rsid w:val="00F51502"/>
    <w:rsid w:val="00F526BC"/>
    <w:rsid w:val="00F545DF"/>
    <w:rsid w:val="00F55436"/>
    <w:rsid w:val="00F55698"/>
    <w:rsid w:val="00F55965"/>
    <w:rsid w:val="00F56FAE"/>
    <w:rsid w:val="00F57D05"/>
    <w:rsid w:val="00F57DBF"/>
    <w:rsid w:val="00F60663"/>
    <w:rsid w:val="00F626CE"/>
    <w:rsid w:val="00F62BA3"/>
    <w:rsid w:val="00F62E2D"/>
    <w:rsid w:val="00F63084"/>
    <w:rsid w:val="00F66458"/>
    <w:rsid w:val="00F6651B"/>
    <w:rsid w:val="00F67F70"/>
    <w:rsid w:val="00F71EF9"/>
    <w:rsid w:val="00F71F74"/>
    <w:rsid w:val="00F720D6"/>
    <w:rsid w:val="00F73982"/>
    <w:rsid w:val="00F755AA"/>
    <w:rsid w:val="00F75E07"/>
    <w:rsid w:val="00F7710B"/>
    <w:rsid w:val="00F77137"/>
    <w:rsid w:val="00F77253"/>
    <w:rsid w:val="00F777C7"/>
    <w:rsid w:val="00F80868"/>
    <w:rsid w:val="00F808E0"/>
    <w:rsid w:val="00F810EC"/>
    <w:rsid w:val="00F8132B"/>
    <w:rsid w:val="00F820EB"/>
    <w:rsid w:val="00F834EF"/>
    <w:rsid w:val="00F83947"/>
    <w:rsid w:val="00F8566B"/>
    <w:rsid w:val="00F85B74"/>
    <w:rsid w:val="00F90E31"/>
    <w:rsid w:val="00F90E72"/>
    <w:rsid w:val="00F922BB"/>
    <w:rsid w:val="00F9284B"/>
    <w:rsid w:val="00F93B23"/>
    <w:rsid w:val="00F9418A"/>
    <w:rsid w:val="00F94DF8"/>
    <w:rsid w:val="00F95136"/>
    <w:rsid w:val="00F95E8E"/>
    <w:rsid w:val="00F96FEC"/>
    <w:rsid w:val="00F974E0"/>
    <w:rsid w:val="00FA1368"/>
    <w:rsid w:val="00FA206A"/>
    <w:rsid w:val="00FA3979"/>
    <w:rsid w:val="00FA5504"/>
    <w:rsid w:val="00FA59D2"/>
    <w:rsid w:val="00FA5B27"/>
    <w:rsid w:val="00FA5B4B"/>
    <w:rsid w:val="00FB0FF9"/>
    <w:rsid w:val="00FB1F52"/>
    <w:rsid w:val="00FB23DD"/>
    <w:rsid w:val="00FB2718"/>
    <w:rsid w:val="00FB37A9"/>
    <w:rsid w:val="00FB41D2"/>
    <w:rsid w:val="00FB4BD4"/>
    <w:rsid w:val="00FB6AF0"/>
    <w:rsid w:val="00FC07DB"/>
    <w:rsid w:val="00FC3D7D"/>
    <w:rsid w:val="00FC61E0"/>
    <w:rsid w:val="00FC7154"/>
    <w:rsid w:val="00FC74DB"/>
    <w:rsid w:val="00FC7DF0"/>
    <w:rsid w:val="00FC7E58"/>
    <w:rsid w:val="00FD0B64"/>
    <w:rsid w:val="00FD1CA8"/>
    <w:rsid w:val="00FD3DA7"/>
    <w:rsid w:val="00FD4E4E"/>
    <w:rsid w:val="00FD54BB"/>
    <w:rsid w:val="00FD55EC"/>
    <w:rsid w:val="00FD5675"/>
    <w:rsid w:val="00FD581B"/>
    <w:rsid w:val="00FD662A"/>
    <w:rsid w:val="00FD67C0"/>
    <w:rsid w:val="00FE0312"/>
    <w:rsid w:val="00FE03D6"/>
    <w:rsid w:val="00FE205C"/>
    <w:rsid w:val="00FE2F7F"/>
    <w:rsid w:val="00FE478A"/>
    <w:rsid w:val="00FE48A4"/>
    <w:rsid w:val="00FE5B51"/>
    <w:rsid w:val="00FE6058"/>
    <w:rsid w:val="00FE72DD"/>
    <w:rsid w:val="00FE773A"/>
    <w:rsid w:val="00FE788D"/>
    <w:rsid w:val="00FE7C94"/>
    <w:rsid w:val="00FE7F31"/>
    <w:rsid w:val="00FE7F8A"/>
    <w:rsid w:val="00FF1BB1"/>
    <w:rsid w:val="00FF2024"/>
    <w:rsid w:val="00FF2B78"/>
    <w:rsid w:val="00FF306C"/>
    <w:rsid w:val="00FF41F1"/>
    <w:rsid w:val="00FF4622"/>
    <w:rsid w:val="00FF584F"/>
    <w:rsid w:val="00FF7B7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96A9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468E9"/>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BD1F42"/>
    <w:pPr>
      <w:tabs>
        <w:tab w:val="right" w:leader="underscore" w:pos="9299"/>
      </w:tabs>
      <w:spacing w:after="0"/>
      <w:ind w:left="567" w:right="425"/>
    </w:pPr>
  </w:style>
  <w:style w:type="paragraph" w:styleId="TOC5">
    <w:name w:val="toc 5"/>
    <w:basedOn w:val="Normal"/>
    <w:next w:val="Normal"/>
    <w:uiPriority w:val="39"/>
    <w:semiHidden/>
    <w:rsid w:val="002E6071"/>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F80868"/>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99"/>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F80868"/>
    <w:pPr>
      <w:pBdr>
        <w:bottom w:val="single" w:sz="4" w:space="1" w:color="00ADC6"/>
      </w:pBdr>
      <w:spacing w:before="200" w:line="240" w:lineRule="auto"/>
    </w:pPr>
    <w:rPr>
      <w:color w:val="696969"/>
    </w:rPr>
  </w:style>
  <w:style w:type="table" w:styleId="TableGrid">
    <w:name w:val="Table Grid"/>
    <w:basedOn w:val="TableNormal"/>
    <w:uiPriority w:val="59"/>
    <w:rsid w:val="0003164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5468E9"/>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D04964"/>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2F4E51"/>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BD1F42"/>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C80DB4"/>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C80DB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character" w:customStyle="1" w:styleId="EmphasisItalics">
    <w:name w:val="Emphasis Italics"/>
    <w:basedOn w:val="DefaultParagraphFont"/>
    <w:uiPriority w:val="2"/>
    <w:rsid w:val="00230D00"/>
    <w:rPr>
      <w:b/>
      <w:i/>
    </w:rPr>
  </w:style>
  <w:style w:type="character" w:styleId="SubtleEmphasis">
    <w:name w:val="Subtle Emphasis"/>
    <w:basedOn w:val="DefaultParagraphFont"/>
    <w:uiPriority w:val="19"/>
    <w:semiHidden/>
    <w:rsid w:val="002E6071"/>
    <w:rPr>
      <w:i/>
      <w:iCs/>
      <w:color w:val="404040" w:themeColor="text1" w:themeTint="BF"/>
    </w:rPr>
  </w:style>
  <w:style w:type="character" w:customStyle="1" w:styleId="label1">
    <w:name w:val="label1"/>
    <w:basedOn w:val="DefaultParagraphFont"/>
    <w:rsid w:val="00695BE5"/>
  </w:style>
  <w:style w:type="character" w:customStyle="1" w:styleId="label2">
    <w:name w:val="label2"/>
    <w:basedOn w:val="DefaultParagraphFont"/>
    <w:rsid w:val="00695BE5"/>
  </w:style>
  <w:style w:type="character" w:customStyle="1" w:styleId="label3">
    <w:name w:val="label3"/>
    <w:basedOn w:val="DefaultParagraphFont"/>
    <w:rsid w:val="00695BE5"/>
  </w:style>
  <w:style w:type="paragraph" w:customStyle="1" w:styleId="subprov1">
    <w:name w:val="subprov1"/>
    <w:basedOn w:val="Normal"/>
    <w:rsid w:val="00695BE5"/>
    <w:pPr>
      <w:spacing w:before="83" w:after="216" w:line="288" w:lineRule="atLeast"/>
    </w:pPr>
    <w:rPr>
      <w:rFonts w:ascii="Times New Roman" w:eastAsia="Times New Roman" w:hAnsi="Times New Roman" w:cs="Times New Roman"/>
      <w:color w:val="auto"/>
      <w:szCs w:val="24"/>
      <w:lang w:eastAsia="en-NZ"/>
    </w:rPr>
  </w:style>
  <w:style w:type="paragraph" w:styleId="ListParagraph">
    <w:name w:val="List Paragraph"/>
    <w:basedOn w:val="Normal"/>
    <w:uiPriority w:val="34"/>
    <w:qFormat/>
    <w:rsid w:val="00091A1A"/>
    <w:pPr>
      <w:spacing w:after="0" w:line="240" w:lineRule="auto"/>
      <w:ind w:left="720"/>
    </w:pPr>
    <w:rPr>
      <w:rFonts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14">
      <w:bodyDiv w:val="1"/>
      <w:marLeft w:val="0"/>
      <w:marRight w:val="0"/>
      <w:marTop w:val="0"/>
      <w:marBottom w:val="0"/>
      <w:divBdr>
        <w:top w:val="none" w:sz="0" w:space="0" w:color="auto"/>
        <w:left w:val="none" w:sz="0" w:space="0" w:color="auto"/>
        <w:bottom w:val="none" w:sz="0" w:space="0" w:color="auto"/>
        <w:right w:val="none" w:sz="0" w:space="0" w:color="auto"/>
      </w:divBdr>
      <w:divsChild>
        <w:div w:id="1279072011">
          <w:marLeft w:val="0"/>
          <w:marRight w:val="0"/>
          <w:marTop w:val="0"/>
          <w:marBottom w:val="0"/>
          <w:divBdr>
            <w:top w:val="none" w:sz="0" w:space="0" w:color="auto"/>
            <w:left w:val="none" w:sz="0" w:space="0" w:color="auto"/>
            <w:bottom w:val="none" w:sz="0" w:space="0" w:color="auto"/>
            <w:right w:val="none" w:sz="0" w:space="0" w:color="auto"/>
          </w:divBdr>
          <w:divsChild>
            <w:div w:id="2086683244">
              <w:marLeft w:val="0"/>
              <w:marRight w:val="0"/>
              <w:marTop w:val="0"/>
              <w:marBottom w:val="0"/>
              <w:divBdr>
                <w:top w:val="none" w:sz="0" w:space="0" w:color="auto"/>
                <w:left w:val="none" w:sz="0" w:space="0" w:color="auto"/>
                <w:bottom w:val="none" w:sz="0" w:space="0" w:color="auto"/>
                <w:right w:val="none" w:sz="0" w:space="0" w:color="auto"/>
              </w:divBdr>
              <w:divsChild>
                <w:div w:id="1285576937">
                  <w:marLeft w:val="0"/>
                  <w:marRight w:val="0"/>
                  <w:marTop w:val="105"/>
                  <w:marBottom w:val="0"/>
                  <w:divBdr>
                    <w:top w:val="none" w:sz="0" w:space="0" w:color="auto"/>
                    <w:left w:val="none" w:sz="0" w:space="0" w:color="auto"/>
                    <w:bottom w:val="none" w:sz="0" w:space="0" w:color="auto"/>
                    <w:right w:val="none" w:sz="0" w:space="0" w:color="auto"/>
                  </w:divBdr>
                  <w:divsChild>
                    <w:div w:id="115296083">
                      <w:marLeft w:val="450"/>
                      <w:marRight w:val="225"/>
                      <w:marTop w:val="0"/>
                      <w:marBottom w:val="0"/>
                      <w:divBdr>
                        <w:top w:val="none" w:sz="0" w:space="0" w:color="auto"/>
                        <w:left w:val="none" w:sz="0" w:space="0" w:color="auto"/>
                        <w:bottom w:val="none" w:sz="0" w:space="0" w:color="auto"/>
                        <w:right w:val="none" w:sz="0" w:space="0" w:color="auto"/>
                      </w:divBdr>
                      <w:divsChild>
                        <w:div w:id="1883133331">
                          <w:marLeft w:val="0"/>
                          <w:marRight w:val="0"/>
                          <w:marTop w:val="0"/>
                          <w:marBottom w:val="600"/>
                          <w:divBdr>
                            <w:top w:val="single" w:sz="6" w:space="0" w:color="314664"/>
                            <w:left w:val="single" w:sz="6" w:space="0" w:color="314664"/>
                            <w:bottom w:val="single" w:sz="6" w:space="0" w:color="314664"/>
                            <w:right w:val="single" w:sz="6" w:space="0" w:color="314664"/>
                          </w:divBdr>
                          <w:divsChild>
                            <w:div w:id="225992680">
                              <w:marLeft w:val="0"/>
                              <w:marRight w:val="0"/>
                              <w:marTop w:val="0"/>
                              <w:marBottom w:val="0"/>
                              <w:divBdr>
                                <w:top w:val="none" w:sz="0" w:space="0" w:color="auto"/>
                                <w:left w:val="none" w:sz="0" w:space="0" w:color="auto"/>
                                <w:bottom w:val="none" w:sz="0" w:space="0" w:color="auto"/>
                                <w:right w:val="none" w:sz="0" w:space="0" w:color="auto"/>
                              </w:divBdr>
                              <w:divsChild>
                                <w:div w:id="1763069527">
                                  <w:marLeft w:val="0"/>
                                  <w:marRight w:val="0"/>
                                  <w:marTop w:val="0"/>
                                  <w:marBottom w:val="0"/>
                                  <w:divBdr>
                                    <w:top w:val="none" w:sz="0" w:space="0" w:color="auto"/>
                                    <w:left w:val="none" w:sz="0" w:space="0" w:color="auto"/>
                                    <w:bottom w:val="none" w:sz="0" w:space="0" w:color="auto"/>
                                    <w:right w:val="none" w:sz="0" w:space="0" w:color="auto"/>
                                  </w:divBdr>
                                  <w:divsChild>
                                    <w:div w:id="939794574">
                                      <w:marLeft w:val="0"/>
                                      <w:marRight w:val="0"/>
                                      <w:marTop w:val="0"/>
                                      <w:marBottom w:val="0"/>
                                      <w:divBdr>
                                        <w:top w:val="none" w:sz="0" w:space="0" w:color="auto"/>
                                        <w:left w:val="none" w:sz="0" w:space="0" w:color="auto"/>
                                        <w:bottom w:val="none" w:sz="0" w:space="0" w:color="auto"/>
                                        <w:right w:val="none" w:sz="0" w:space="0" w:color="auto"/>
                                      </w:divBdr>
                                      <w:divsChild>
                                        <w:div w:id="700253332">
                                          <w:marLeft w:val="0"/>
                                          <w:marRight w:val="0"/>
                                          <w:marTop w:val="0"/>
                                          <w:marBottom w:val="0"/>
                                          <w:divBdr>
                                            <w:top w:val="none" w:sz="0" w:space="0" w:color="auto"/>
                                            <w:left w:val="none" w:sz="0" w:space="0" w:color="auto"/>
                                            <w:bottom w:val="none" w:sz="0" w:space="0" w:color="auto"/>
                                            <w:right w:val="none" w:sz="0" w:space="0" w:color="auto"/>
                                          </w:divBdr>
                                          <w:divsChild>
                                            <w:div w:id="211230750">
                                              <w:marLeft w:val="0"/>
                                              <w:marRight w:val="0"/>
                                              <w:marTop w:val="0"/>
                                              <w:marBottom w:val="0"/>
                                              <w:divBdr>
                                                <w:top w:val="none" w:sz="0" w:space="0" w:color="auto"/>
                                                <w:left w:val="none" w:sz="0" w:space="0" w:color="auto"/>
                                                <w:bottom w:val="none" w:sz="0" w:space="0" w:color="auto"/>
                                                <w:right w:val="none" w:sz="0" w:space="0" w:color="auto"/>
                                              </w:divBdr>
                                              <w:divsChild>
                                                <w:div w:id="738671784">
                                                  <w:marLeft w:val="0"/>
                                                  <w:marRight w:val="0"/>
                                                  <w:marTop w:val="0"/>
                                                  <w:marBottom w:val="0"/>
                                                  <w:divBdr>
                                                    <w:top w:val="none" w:sz="0" w:space="0" w:color="auto"/>
                                                    <w:left w:val="none" w:sz="0" w:space="0" w:color="auto"/>
                                                    <w:bottom w:val="none" w:sz="0" w:space="0" w:color="auto"/>
                                                    <w:right w:val="none" w:sz="0" w:space="0" w:color="auto"/>
                                                  </w:divBdr>
                                                  <w:divsChild>
                                                    <w:div w:id="659042248">
                                                      <w:marLeft w:val="0"/>
                                                      <w:marRight w:val="0"/>
                                                      <w:marTop w:val="0"/>
                                                      <w:marBottom w:val="0"/>
                                                      <w:divBdr>
                                                        <w:top w:val="none" w:sz="0" w:space="0" w:color="auto"/>
                                                        <w:left w:val="none" w:sz="0" w:space="0" w:color="auto"/>
                                                        <w:bottom w:val="none" w:sz="0" w:space="0" w:color="auto"/>
                                                        <w:right w:val="none" w:sz="0" w:space="0" w:color="auto"/>
                                                      </w:divBdr>
                                                      <w:divsChild>
                                                        <w:div w:id="1489788695">
                                                          <w:marLeft w:val="0"/>
                                                          <w:marRight w:val="0"/>
                                                          <w:marTop w:val="0"/>
                                                          <w:marBottom w:val="0"/>
                                                          <w:divBdr>
                                                            <w:top w:val="none" w:sz="0" w:space="0" w:color="auto"/>
                                                            <w:left w:val="none" w:sz="0" w:space="0" w:color="auto"/>
                                                            <w:bottom w:val="none" w:sz="0" w:space="0" w:color="auto"/>
                                                            <w:right w:val="none" w:sz="0" w:space="0" w:color="auto"/>
                                                          </w:divBdr>
                                                          <w:divsChild>
                                                            <w:div w:id="1117525349">
                                                              <w:marLeft w:val="0"/>
                                                              <w:marRight w:val="0"/>
                                                              <w:marTop w:val="0"/>
                                                              <w:marBottom w:val="0"/>
                                                              <w:divBdr>
                                                                <w:top w:val="none" w:sz="0" w:space="0" w:color="auto"/>
                                                                <w:left w:val="none" w:sz="0" w:space="0" w:color="auto"/>
                                                                <w:bottom w:val="none" w:sz="0" w:space="0" w:color="auto"/>
                                                                <w:right w:val="none" w:sz="0" w:space="0" w:color="auto"/>
                                                              </w:divBdr>
                                                              <w:divsChild>
                                                                <w:div w:id="821432710">
                                                                  <w:marLeft w:val="0"/>
                                                                  <w:marRight w:val="0"/>
                                                                  <w:marTop w:val="0"/>
                                                                  <w:marBottom w:val="0"/>
                                                                  <w:divBdr>
                                                                    <w:top w:val="none" w:sz="0" w:space="0" w:color="auto"/>
                                                                    <w:left w:val="none" w:sz="0" w:space="0" w:color="auto"/>
                                                                    <w:bottom w:val="none" w:sz="0" w:space="0" w:color="auto"/>
                                                                    <w:right w:val="none" w:sz="0" w:space="0" w:color="auto"/>
                                                                  </w:divBdr>
                                                                  <w:divsChild>
                                                                    <w:div w:id="975185347">
                                                                      <w:marLeft w:val="0"/>
                                                                      <w:marRight w:val="0"/>
                                                                      <w:marTop w:val="83"/>
                                                                      <w:marBottom w:val="0"/>
                                                                      <w:divBdr>
                                                                        <w:top w:val="none" w:sz="0" w:space="0" w:color="auto"/>
                                                                        <w:left w:val="none" w:sz="0" w:space="0" w:color="auto"/>
                                                                        <w:bottom w:val="none" w:sz="0" w:space="0" w:color="auto"/>
                                                                        <w:right w:val="none" w:sz="0" w:space="0" w:color="auto"/>
                                                                      </w:divBdr>
                                                                    </w:div>
                                                                  </w:divsChild>
                                                                </w:div>
                                                                <w:div w:id="1554152855">
                                                                  <w:marLeft w:val="0"/>
                                                                  <w:marRight w:val="0"/>
                                                                  <w:marTop w:val="0"/>
                                                                  <w:marBottom w:val="0"/>
                                                                  <w:divBdr>
                                                                    <w:top w:val="none" w:sz="0" w:space="0" w:color="auto"/>
                                                                    <w:left w:val="none" w:sz="0" w:space="0" w:color="auto"/>
                                                                    <w:bottom w:val="none" w:sz="0" w:space="0" w:color="auto"/>
                                                                    <w:right w:val="none" w:sz="0" w:space="0" w:color="auto"/>
                                                                  </w:divBdr>
                                                                  <w:divsChild>
                                                                    <w:div w:id="229658352">
                                                                      <w:marLeft w:val="0"/>
                                                                      <w:marRight w:val="0"/>
                                                                      <w:marTop w:val="83"/>
                                                                      <w:marBottom w:val="0"/>
                                                                      <w:divBdr>
                                                                        <w:top w:val="none" w:sz="0" w:space="0" w:color="auto"/>
                                                                        <w:left w:val="none" w:sz="0" w:space="0" w:color="auto"/>
                                                                        <w:bottom w:val="none" w:sz="0" w:space="0" w:color="auto"/>
                                                                        <w:right w:val="none" w:sz="0" w:space="0" w:color="auto"/>
                                                                      </w:divBdr>
                                                                      <w:divsChild>
                                                                        <w:div w:id="106505178">
                                                                          <w:marLeft w:val="0"/>
                                                                          <w:marRight w:val="0"/>
                                                                          <w:marTop w:val="0"/>
                                                                          <w:marBottom w:val="0"/>
                                                                          <w:divBdr>
                                                                            <w:top w:val="none" w:sz="0" w:space="0" w:color="auto"/>
                                                                            <w:left w:val="none" w:sz="0" w:space="0" w:color="auto"/>
                                                                            <w:bottom w:val="none" w:sz="0" w:space="0" w:color="auto"/>
                                                                            <w:right w:val="none" w:sz="0" w:space="0" w:color="auto"/>
                                                                          </w:divBdr>
                                                                          <w:divsChild>
                                                                            <w:div w:id="1180311911">
                                                                              <w:marLeft w:val="0"/>
                                                                              <w:marRight w:val="0"/>
                                                                              <w:marTop w:val="83"/>
                                                                              <w:marBottom w:val="0"/>
                                                                              <w:divBdr>
                                                                                <w:top w:val="none" w:sz="0" w:space="0" w:color="auto"/>
                                                                                <w:left w:val="none" w:sz="0" w:space="0" w:color="auto"/>
                                                                                <w:bottom w:val="none" w:sz="0" w:space="0" w:color="auto"/>
                                                                                <w:right w:val="none" w:sz="0" w:space="0" w:color="auto"/>
                                                                              </w:divBdr>
                                                                            </w:div>
                                                                          </w:divsChild>
                                                                        </w:div>
                                                                        <w:div w:id="1505589223">
                                                                          <w:marLeft w:val="0"/>
                                                                          <w:marRight w:val="0"/>
                                                                          <w:marTop w:val="0"/>
                                                                          <w:marBottom w:val="0"/>
                                                                          <w:divBdr>
                                                                            <w:top w:val="none" w:sz="0" w:space="0" w:color="auto"/>
                                                                            <w:left w:val="none" w:sz="0" w:space="0" w:color="auto"/>
                                                                            <w:bottom w:val="none" w:sz="0" w:space="0" w:color="auto"/>
                                                                            <w:right w:val="none" w:sz="0" w:space="0" w:color="auto"/>
                                                                          </w:divBdr>
                                                                          <w:divsChild>
                                                                            <w:div w:id="80025634">
                                                                              <w:marLeft w:val="0"/>
                                                                              <w:marRight w:val="0"/>
                                                                              <w:marTop w:val="83"/>
                                                                              <w:marBottom w:val="0"/>
                                                                              <w:divBdr>
                                                                                <w:top w:val="none" w:sz="0" w:space="0" w:color="auto"/>
                                                                                <w:left w:val="none" w:sz="0" w:space="0" w:color="auto"/>
                                                                                <w:bottom w:val="none" w:sz="0" w:space="0" w:color="auto"/>
                                                                                <w:right w:val="none" w:sz="0" w:space="0" w:color="auto"/>
                                                                              </w:divBdr>
                                                                              <w:divsChild>
                                                                                <w:div w:id="138495064">
                                                                                  <w:marLeft w:val="0"/>
                                                                                  <w:marRight w:val="0"/>
                                                                                  <w:marTop w:val="0"/>
                                                                                  <w:marBottom w:val="0"/>
                                                                                  <w:divBdr>
                                                                                    <w:top w:val="none" w:sz="0" w:space="0" w:color="auto"/>
                                                                                    <w:left w:val="none" w:sz="0" w:space="0" w:color="auto"/>
                                                                                    <w:bottom w:val="none" w:sz="0" w:space="0" w:color="auto"/>
                                                                                    <w:right w:val="none" w:sz="0" w:space="0" w:color="auto"/>
                                                                                  </w:divBdr>
                                                                                  <w:divsChild>
                                                                                    <w:div w:id="1935940376">
                                                                                      <w:marLeft w:val="0"/>
                                                                                      <w:marRight w:val="0"/>
                                                                                      <w:marTop w:val="83"/>
                                                                                      <w:marBottom w:val="0"/>
                                                                                      <w:divBdr>
                                                                                        <w:top w:val="none" w:sz="0" w:space="0" w:color="auto"/>
                                                                                        <w:left w:val="none" w:sz="0" w:space="0" w:color="auto"/>
                                                                                        <w:bottom w:val="none" w:sz="0" w:space="0" w:color="auto"/>
                                                                                        <w:right w:val="none" w:sz="0" w:space="0" w:color="auto"/>
                                                                                      </w:divBdr>
                                                                                    </w:div>
                                                                                  </w:divsChild>
                                                                                </w:div>
                                                                                <w:div w:id="958875189">
                                                                                  <w:marLeft w:val="0"/>
                                                                                  <w:marRight w:val="0"/>
                                                                                  <w:marTop w:val="0"/>
                                                                                  <w:marBottom w:val="0"/>
                                                                                  <w:divBdr>
                                                                                    <w:top w:val="none" w:sz="0" w:space="0" w:color="auto"/>
                                                                                    <w:left w:val="none" w:sz="0" w:space="0" w:color="auto"/>
                                                                                    <w:bottom w:val="none" w:sz="0" w:space="0" w:color="auto"/>
                                                                                    <w:right w:val="none" w:sz="0" w:space="0" w:color="auto"/>
                                                                                  </w:divBdr>
                                                                                  <w:divsChild>
                                                                                    <w:div w:id="20352287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258695">
      <w:bodyDiv w:val="1"/>
      <w:marLeft w:val="0"/>
      <w:marRight w:val="0"/>
      <w:marTop w:val="0"/>
      <w:marBottom w:val="0"/>
      <w:divBdr>
        <w:top w:val="none" w:sz="0" w:space="0" w:color="auto"/>
        <w:left w:val="none" w:sz="0" w:space="0" w:color="auto"/>
        <w:bottom w:val="none" w:sz="0" w:space="0" w:color="auto"/>
        <w:right w:val="none" w:sz="0" w:space="0" w:color="auto"/>
      </w:divBdr>
    </w:div>
    <w:div w:id="296572185">
      <w:bodyDiv w:val="1"/>
      <w:marLeft w:val="0"/>
      <w:marRight w:val="0"/>
      <w:marTop w:val="0"/>
      <w:marBottom w:val="0"/>
      <w:divBdr>
        <w:top w:val="none" w:sz="0" w:space="0" w:color="auto"/>
        <w:left w:val="none" w:sz="0" w:space="0" w:color="auto"/>
        <w:bottom w:val="none" w:sz="0" w:space="0" w:color="auto"/>
        <w:right w:val="none" w:sz="0" w:space="0" w:color="auto"/>
      </w:divBdr>
    </w:div>
    <w:div w:id="783572401">
      <w:bodyDiv w:val="1"/>
      <w:marLeft w:val="0"/>
      <w:marRight w:val="0"/>
      <w:marTop w:val="0"/>
      <w:marBottom w:val="0"/>
      <w:divBdr>
        <w:top w:val="none" w:sz="0" w:space="0" w:color="auto"/>
        <w:left w:val="none" w:sz="0" w:space="0" w:color="auto"/>
        <w:bottom w:val="none" w:sz="0" w:space="0" w:color="auto"/>
        <w:right w:val="none" w:sz="0" w:space="0" w:color="auto"/>
      </w:divBdr>
    </w:div>
    <w:div w:id="816646080">
      <w:bodyDiv w:val="1"/>
      <w:marLeft w:val="0"/>
      <w:marRight w:val="0"/>
      <w:marTop w:val="0"/>
      <w:marBottom w:val="0"/>
      <w:divBdr>
        <w:top w:val="none" w:sz="0" w:space="0" w:color="auto"/>
        <w:left w:val="none" w:sz="0" w:space="0" w:color="auto"/>
        <w:bottom w:val="none" w:sz="0" w:space="0" w:color="auto"/>
        <w:right w:val="none" w:sz="0" w:space="0" w:color="auto"/>
      </w:divBdr>
      <w:divsChild>
        <w:div w:id="124661654">
          <w:marLeft w:val="0"/>
          <w:marRight w:val="0"/>
          <w:marTop w:val="0"/>
          <w:marBottom w:val="0"/>
          <w:divBdr>
            <w:top w:val="none" w:sz="0" w:space="0" w:color="auto"/>
            <w:left w:val="none" w:sz="0" w:space="0" w:color="auto"/>
            <w:bottom w:val="none" w:sz="0" w:space="0" w:color="auto"/>
            <w:right w:val="none" w:sz="0" w:space="0" w:color="auto"/>
          </w:divBdr>
          <w:divsChild>
            <w:div w:id="1459182602">
              <w:marLeft w:val="0"/>
              <w:marRight w:val="0"/>
              <w:marTop w:val="0"/>
              <w:marBottom w:val="0"/>
              <w:divBdr>
                <w:top w:val="none" w:sz="0" w:space="0" w:color="auto"/>
                <w:left w:val="none" w:sz="0" w:space="0" w:color="auto"/>
                <w:bottom w:val="none" w:sz="0" w:space="0" w:color="auto"/>
                <w:right w:val="none" w:sz="0" w:space="0" w:color="auto"/>
              </w:divBdr>
              <w:divsChild>
                <w:div w:id="713623822">
                  <w:marLeft w:val="0"/>
                  <w:marRight w:val="0"/>
                  <w:marTop w:val="105"/>
                  <w:marBottom w:val="0"/>
                  <w:divBdr>
                    <w:top w:val="none" w:sz="0" w:space="0" w:color="auto"/>
                    <w:left w:val="none" w:sz="0" w:space="0" w:color="auto"/>
                    <w:bottom w:val="none" w:sz="0" w:space="0" w:color="auto"/>
                    <w:right w:val="none" w:sz="0" w:space="0" w:color="auto"/>
                  </w:divBdr>
                  <w:divsChild>
                    <w:div w:id="1620793244">
                      <w:marLeft w:val="450"/>
                      <w:marRight w:val="225"/>
                      <w:marTop w:val="0"/>
                      <w:marBottom w:val="0"/>
                      <w:divBdr>
                        <w:top w:val="none" w:sz="0" w:space="0" w:color="auto"/>
                        <w:left w:val="none" w:sz="0" w:space="0" w:color="auto"/>
                        <w:bottom w:val="none" w:sz="0" w:space="0" w:color="auto"/>
                        <w:right w:val="none" w:sz="0" w:space="0" w:color="auto"/>
                      </w:divBdr>
                      <w:divsChild>
                        <w:div w:id="1613829404">
                          <w:marLeft w:val="0"/>
                          <w:marRight w:val="0"/>
                          <w:marTop w:val="0"/>
                          <w:marBottom w:val="600"/>
                          <w:divBdr>
                            <w:top w:val="single" w:sz="6" w:space="0" w:color="314664"/>
                            <w:left w:val="single" w:sz="6" w:space="0" w:color="314664"/>
                            <w:bottom w:val="single" w:sz="6" w:space="0" w:color="314664"/>
                            <w:right w:val="single" w:sz="6" w:space="0" w:color="314664"/>
                          </w:divBdr>
                          <w:divsChild>
                            <w:div w:id="1313946557">
                              <w:marLeft w:val="0"/>
                              <w:marRight w:val="0"/>
                              <w:marTop w:val="0"/>
                              <w:marBottom w:val="0"/>
                              <w:divBdr>
                                <w:top w:val="none" w:sz="0" w:space="0" w:color="auto"/>
                                <w:left w:val="none" w:sz="0" w:space="0" w:color="auto"/>
                                <w:bottom w:val="none" w:sz="0" w:space="0" w:color="auto"/>
                                <w:right w:val="none" w:sz="0" w:space="0" w:color="auto"/>
                              </w:divBdr>
                              <w:divsChild>
                                <w:div w:id="815343607">
                                  <w:marLeft w:val="0"/>
                                  <w:marRight w:val="0"/>
                                  <w:marTop w:val="0"/>
                                  <w:marBottom w:val="0"/>
                                  <w:divBdr>
                                    <w:top w:val="none" w:sz="0" w:space="0" w:color="auto"/>
                                    <w:left w:val="none" w:sz="0" w:space="0" w:color="auto"/>
                                    <w:bottom w:val="none" w:sz="0" w:space="0" w:color="auto"/>
                                    <w:right w:val="none" w:sz="0" w:space="0" w:color="auto"/>
                                  </w:divBdr>
                                  <w:divsChild>
                                    <w:div w:id="250967676">
                                      <w:marLeft w:val="0"/>
                                      <w:marRight w:val="0"/>
                                      <w:marTop w:val="0"/>
                                      <w:marBottom w:val="0"/>
                                      <w:divBdr>
                                        <w:top w:val="none" w:sz="0" w:space="0" w:color="auto"/>
                                        <w:left w:val="none" w:sz="0" w:space="0" w:color="auto"/>
                                        <w:bottom w:val="none" w:sz="0" w:space="0" w:color="auto"/>
                                        <w:right w:val="none" w:sz="0" w:space="0" w:color="auto"/>
                                      </w:divBdr>
                                      <w:divsChild>
                                        <w:div w:id="1188715870">
                                          <w:marLeft w:val="0"/>
                                          <w:marRight w:val="0"/>
                                          <w:marTop w:val="0"/>
                                          <w:marBottom w:val="0"/>
                                          <w:divBdr>
                                            <w:top w:val="none" w:sz="0" w:space="0" w:color="auto"/>
                                            <w:left w:val="none" w:sz="0" w:space="0" w:color="auto"/>
                                            <w:bottom w:val="none" w:sz="0" w:space="0" w:color="auto"/>
                                            <w:right w:val="none" w:sz="0" w:space="0" w:color="auto"/>
                                          </w:divBdr>
                                          <w:divsChild>
                                            <w:div w:id="995839320">
                                              <w:marLeft w:val="0"/>
                                              <w:marRight w:val="0"/>
                                              <w:marTop w:val="0"/>
                                              <w:marBottom w:val="0"/>
                                              <w:divBdr>
                                                <w:top w:val="none" w:sz="0" w:space="0" w:color="auto"/>
                                                <w:left w:val="none" w:sz="0" w:space="0" w:color="auto"/>
                                                <w:bottom w:val="none" w:sz="0" w:space="0" w:color="auto"/>
                                                <w:right w:val="none" w:sz="0" w:space="0" w:color="auto"/>
                                              </w:divBdr>
                                              <w:divsChild>
                                                <w:div w:id="528956885">
                                                  <w:marLeft w:val="0"/>
                                                  <w:marRight w:val="0"/>
                                                  <w:marTop w:val="0"/>
                                                  <w:marBottom w:val="0"/>
                                                  <w:divBdr>
                                                    <w:top w:val="none" w:sz="0" w:space="0" w:color="auto"/>
                                                    <w:left w:val="none" w:sz="0" w:space="0" w:color="auto"/>
                                                    <w:bottom w:val="none" w:sz="0" w:space="0" w:color="auto"/>
                                                    <w:right w:val="none" w:sz="0" w:space="0" w:color="auto"/>
                                                  </w:divBdr>
                                                  <w:divsChild>
                                                    <w:div w:id="1663700730">
                                                      <w:marLeft w:val="0"/>
                                                      <w:marRight w:val="0"/>
                                                      <w:marTop w:val="0"/>
                                                      <w:marBottom w:val="0"/>
                                                      <w:divBdr>
                                                        <w:top w:val="none" w:sz="0" w:space="0" w:color="auto"/>
                                                        <w:left w:val="none" w:sz="0" w:space="0" w:color="auto"/>
                                                        <w:bottom w:val="none" w:sz="0" w:space="0" w:color="auto"/>
                                                        <w:right w:val="none" w:sz="0" w:space="0" w:color="auto"/>
                                                      </w:divBdr>
                                                      <w:divsChild>
                                                        <w:div w:id="1932619346">
                                                          <w:marLeft w:val="0"/>
                                                          <w:marRight w:val="0"/>
                                                          <w:marTop w:val="0"/>
                                                          <w:marBottom w:val="0"/>
                                                          <w:divBdr>
                                                            <w:top w:val="none" w:sz="0" w:space="0" w:color="auto"/>
                                                            <w:left w:val="none" w:sz="0" w:space="0" w:color="auto"/>
                                                            <w:bottom w:val="none" w:sz="0" w:space="0" w:color="auto"/>
                                                            <w:right w:val="none" w:sz="0" w:space="0" w:color="auto"/>
                                                          </w:divBdr>
                                                          <w:divsChild>
                                                            <w:div w:id="472603784">
                                                              <w:marLeft w:val="0"/>
                                                              <w:marRight w:val="0"/>
                                                              <w:marTop w:val="0"/>
                                                              <w:marBottom w:val="0"/>
                                                              <w:divBdr>
                                                                <w:top w:val="none" w:sz="0" w:space="0" w:color="auto"/>
                                                                <w:left w:val="none" w:sz="0" w:space="0" w:color="auto"/>
                                                                <w:bottom w:val="none" w:sz="0" w:space="0" w:color="auto"/>
                                                                <w:right w:val="none" w:sz="0" w:space="0" w:color="auto"/>
                                                              </w:divBdr>
                                                              <w:divsChild>
                                                                <w:div w:id="1004627892">
                                                                  <w:marLeft w:val="0"/>
                                                                  <w:marRight w:val="0"/>
                                                                  <w:marTop w:val="0"/>
                                                                  <w:marBottom w:val="0"/>
                                                                  <w:divBdr>
                                                                    <w:top w:val="none" w:sz="0" w:space="0" w:color="auto"/>
                                                                    <w:left w:val="none" w:sz="0" w:space="0" w:color="auto"/>
                                                                    <w:bottom w:val="none" w:sz="0" w:space="0" w:color="auto"/>
                                                                    <w:right w:val="none" w:sz="0" w:space="0" w:color="auto"/>
                                                                  </w:divBdr>
                                                                  <w:divsChild>
                                                                    <w:div w:id="8002714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859103">
      <w:bodyDiv w:val="1"/>
      <w:marLeft w:val="0"/>
      <w:marRight w:val="0"/>
      <w:marTop w:val="0"/>
      <w:marBottom w:val="0"/>
      <w:divBdr>
        <w:top w:val="none" w:sz="0" w:space="0" w:color="auto"/>
        <w:left w:val="none" w:sz="0" w:space="0" w:color="auto"/>
        <w:bottom w:val="none" w:sz="0" w:space="0" w:color="auto"/>
        <w:right w:val="none" w:sz="0" w:space="0" w:color="auto"/>
      </w:divBdr>
      <w:divsChild>
        <w:div w:id="1027752636">
          <w:marLeft w:val="0"/>
          <w:marRight w:val="0"/>
          <w:marTop w:val="0"/>
          <w:marBottom w:val="0"/>
          <w:divBdr>
            <w:top w:val="none" w:sz="0" w:space="0" w:color="auto"/>
            <w:left w:val="none" w:sz="0" w:space="0" w:color="auto"/>
            <w:bottom w:val="none" w:sz="0" w:space="0" w:color="auto"/>
            <w:right w:val="none" w:sz="0" w:space="0" w:color="auto"/>
          </w:divBdr>
          <w:divsChild>
            <w:div w:id="207381589">
              <w:marLeft w:val="0"/>
              <w:marRight w:val="0"/>
              <w:marTop w:val="0"/>
              <w:marBottom w:val="0"/>
              <w:divBdr>
                <w:top w:val="none" w:sz="0" w:space="0" w:color="auto"/>
                <w:left w:val="none" w:sz="0" w:space="0" w:color="auto"/>
                <w:bottom w:val="none" w:sz="0" w:space="0" w:color="auto"/>
                <w:right w:val="none" w:sz="0" w:space="0" w:color="auto"/>
              </w:divBdr>
              <w:divsChild>
                <w:div w:id="713584241">
                  <w:marLeft w:val="-420"/>
                  <w:marRight w:val="0"/>
                  <w:marTop w:val="0"/>
                  <w:marBottom w:val="0"/>
                  <w:divBdr>
                    <w:top w:val="none" w:sz="0" w:space="0" w:color="auto"/>
                    <w:left w:val="none" w:sz="0" w:space="0" w:color="auto"/>
                    <w:bottom w:val="none" w:sz="0" w:space="0" w:color="auto"/>
                    <w:right w:val="none" w:sz="0" w:space="0" w:color="auto"/>
                  </w:divBdr>
                  <w:divsChild>
                    <w:div w:id="465390735">
                      <w:marLeft w:val="0"/>
                      <w:marRight w:val="0"/>
                      <w:marTop w:val="0"/>
                      <w:marBottom w:val="0"/>
                      <w:divBdr>
                        <w:top w:val="none" w:sz="0" w:space="0" w:color="auto"/>
                        <w:left w:val="none" w:sz="0" w:space="0" w:color="auto"/>
                        <w:bottom w:val="none" w:sz="0" w:space="0" w:color="auto"/>
                        <w:right w:val="none" w:sz="0" w:space="0" w:color="auto"/>
                      </w:divBdr>
                      <w:divsChild>
                        <w:div w:id="231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8177">
      <w:bodyDiv w:val="1"/>
      <w:marLeft w:val="0"/>
      <w:marRight w:val="0"/>
      <w:marTop w:val="0"/>
      <w:marBottom w:val="0"/>
      <w:divBdr>
        <w:top w:val="none" w:sz="0" w:space="0" w:color="auto"/>
        <w:left w:val="none" w:sz="0" w:space="0" w:color="auto"/>
        <w:bottom w:val="none" w:sz="0" w:space="0" w:color="auto"/>
        <w:right w:val="none" w:sz="0" w:space="0" w:color="auto"/>
      </w:divBdr>
    </w:div>
    <w:div w:id="1649435627">
      <w:bodyDiv w:val="1"/>
      <w:marLeft w:val="0"/>
      <w:marRight w:val="0"/>
      <w:marTop w:val="0"/>
      <w:marBottom w:val="0"/>
      <w:divBdr>
        <w:top w:val="none" w:sz="0" w:space="0" w:color="auto"/>
        <w:left w:val="none" w:sz="0" w:space="0" w:color="auto"/>
        <w:bottom w:val="none" w:sz="0" w:space="0" w:color="auto"/>
        <w:right w:val="none" w:sz="0" w:space="0" w:color="auto"/>
      </w:divBdr>
      <w:divsChild>
        <w:div w:id="1456871825">
          <w:marLeft w:val="0"/>
          <w:marRight w:val="0"/>
          <w:marTop w:val="0"/>
          <w:marBottom w:val="0"/>
          <w:divBdr>
            <w:top w:val="none" w:sz="0" w:space="0" w:color="auto"/>
            <w:left w:val="none" w:sz="0" w:space="0" w:color="auto"/>
            <w:bottom w:val="none" w:sz="0" w:space="0" w:color="auto"/>
            <w:right w:val="none" w:sz="0" w:space="0" w:color="auto"/>
          </w:divBdr>
          <w:divsChild>
            <w:div w:id="987510770">
              <w:marLeft w:val="0"/>
              <w:marRight w:val="0"/>
              <w:marTop w:val="0"/>
              <w:marBottom w:val="0"/>
              <w:divBdr>
                <w:top w:val="none" w:sz="0" w:space="0" w:color="auto"/>
                <w:left w:val="none" w:sz="0" w:space="0" w:color="auto"/>
                <w:bottom w:val="none" w:sz="0" w:space="0" w:color="auto"/>
                <w:right w:val="none" w:sz="0" w:space="0" w:color="auto"/>
              </w:divBdr>
              <w:divsChild>
                <w:div w:id="1646474822">
                  <w:marLeft w:val="0"/>
                  <w:marRight w:val="0"/>
                  <w:marTop w:val="105"/>
                  <w:marBottom w:val="0"/>
                  <w:divBdr>
                    <w:top w:val="none" w:sz="0" w:space="0" w:color="auto"/>
                    <w:left w:val="none" w:sz="0" w:space="0" w:color="auto"/>
                    <w:bottom w:val="none" w:sz="0" w:space="0" w:color="auto"/>
                    <w:right w:val="none" w:sz="0" w:space="0" w:color="auto"/>
                  </w:divBdr>
                  <w:divsChild>
                    <w:div w:id="39790754">
                      <w:marLeft w:val="450"/>
                      <w:marRight w:val="225"/>
                      <w:marTop w:val="0"/>
                      <w:marBottom w:val="0"/>
                      <w:divBdr>
                        <w:top w:val="none" w:sz="0" w:space="0" w:color="auto"/>
                        <w:left w:val="none" w:sz="0" w:space="0" w:color="auto"/>
                        <w:bottom w:val="none" w:sz="0" w:space="0" w:color="auto"/>
                        <w:right w:val="none" w:sz="0" w:space="0" w:color="auto"/>
                      </w:divBdr>
                      <w:divsChild>
                        <w:div w:id="2089382953">
                          <w:marLeft w:val="0"/>
                          <w:marRight w:val="0"/>
                          <w:marTop w:val="0"/>
                          <w:marBottom w:val="600"/>
                          <w:divBdr>
                            <w:top w:val="single" w:sz="6" w:space="0" w:color="314664"/>
                            <w:left w:val="single" w:sz="6" w:space="0" w:color="314664"/>
                            <w:bottom w:val="single" w:sz="6" w:space="0" w:color="314664"/>
                            <w:right w:val="single" w:sz="6" w:space="0" w:color="314664"/>
                          </w:divBdr>
                          <w:divsChild>
                            <w:div w:id="282078651">
                              <w:marLeft w:val="0"/>
                              <w:marRight w:val="0"/>
                              <w:marTop w:val="0"/>
                              <w:marBottom w:val="0"/>
                              <w:divBdr>
                                <w:top w:val="none" w:sz="0" w:space="0" w:color="auto"/>
                                <w:left w:val="none" w:sz="0" w:space="0" w:color="auto"/>
                                <w:bottom w:val="none" w:sz="0" w:space="0" w:color="auto"/>
                                <w:right w:val="none" w:sz="0" w:space="0" w:color="auto"/>
                              </w:divBdr>
                              <w:divsChild>
                                <w:div w:id="880165890">
                                  <w:marLeft w:val="0"/>
                                  <w:marRight w:val="0"/>
                                  <w:marTop w:val="0"/>
                                  <w:marBottom w:val="0"/>
                                  <w:divBdr>
                                    <w:top w:val="none" w:sz="0" w:space="0" w:color="auto"/>
                                    <w:left w:val="none" w:sz="0" w:space="0" w:color="auto"/>
                                    <w:bottom w:val="none" w:sz="0" w:space="0" w:color="auto"/>
                                    <w:right w:val="none" w:sz="0" w:space="0" w:color="auto"/>
                                  </w:divBdr>
                                  <w:divsChild>
                                    <w:div w:id="1506700854">
                                      <w:marLeft w:val="0"/>
                                      <w:marRight w:val="0"/>
                                      <w:marTop w:val="0"/>
                                      <w:marBottom w:val="0"/>
                                      <w:divBdr>
                                        <w:top w:val="none" w:sz="0" w:space="0" w:color="auto"/>
                                        <w:left w:val="none" w:sz="0" w:space="0" w:color="auto"/>
                                        <w:bottom w:val="none" w:sz="0" w:space="0" w:color="auto"/>
                                        <w:right w:val="none" w:sz="0" w:space="0" w:color="auto"/>
                                      </w:divBdr>
                                      <w:divsChild>
                                        <w:div w:id="1769038780">
                                          <w:marLeft w:val="0"/>
                                          <w:marRight w:val="0"/>
                                          <w:marTop w:val="0"/>
                                          <w:marBottom w:val="0"/>
                                          <w:divBdr>
                                            <w:top w:val="none" w:sz="0" w:space="0" w:color="auto"/>
                                            <w:left w:val="none" w:sz="0" w:space="0" w:color="auto"/>
                                            <w:bottom w:val="none" w:sz="0" w:space="0" w:color="auto"/>
                                            <w:right w:val="none" w:sz="0" w:space="0" w:color="auto"/>
                                          </w:divBdr>
                                          <w:divsChild>
                                            <w:div w:id="701130608">
                                              <w:marLeft w:val="0"/>
                                              <w:marRight w:val="0"/>
                                              <w:marTop w:val="0"/>
                                              <w:marBottom w:val="0"/>
                                              <w:divBdr>
                                                <w:top w:val="none" w:sz="0" w:space="0" w:color="auto"/>
                                                <w:left w:val="none" w:sz="0" w:space="0" w:color="auto"/>
                                                <w:bottom w:val="none" w:sz="0" w:space="0" w:color="auto"/>
                                                <w:right w:val="none" w:sz="0" w:space="0" w:color="auto"/>
                                              </w:divBdr>
                                              <w:divsChild>
                                                <w:div w:id="1770158900">
                                                  <w:marLeft w:val="0"/>
                                                  <w:marRight w:val="0"/>
                                                  <w:marTop w:val="0"/>
                                                  <w:marBottom w:val="0"/>
                                                  <w:divBdr>
                                                    <w:top w:val="none" w:sz="0" w:space="0" w:color="auto"/>
                                                    <w:left w:val="none" w:sz="0" w:space="0" w:color="auto"/>
                                                    <w:bottom w:val="none" w:sz="0" w:space="0" w:color="auto"/>
                                                    <w:right w:val="none" w:sz="0" w:space="0" w:color="auto"/>
                                                  </w:divBdr>
                                                  <w:divsChild>
                                                    <w:div w:id="103623696">
                                                      <w:marLeft w:val="0"/>
                                                      <w:marRight w:val="0"/>
                                                      <w:marTop w:val="0"/>
                                                      <w:marBottom w:val="0"/>
                                                      <w:divBdr>
                                                        <w:top w:val="none" w:sz="0" w:space="0" w:color="auto"/>
                                                        <w:left w:val="none" w:sz="0" w:space="0" w:color="auto"/>
                                                        <w:bottom w:val="none" w:sz="0" w:space="0" w:color="auto"/>
                                                        <w:right w:val="none" w:sz="0" w:space="0" w:color="auto"/>
                                                      </w:divBdr>
                                                      <w:divsChild>
                                                        <w:div w:id="2098480950">
                                                          <w:marLeft w:val="0"/>
                                                          <w:marRight w:val="0"/>
                                                          <w:marTop w:val="0"/>
                                                          <w:marBottom w:val="0"/>
                                                          <w:divBdr>
                                                            <w:top w:val="none" w:sz="0" w:space="0" w:color="auto"/>
                                                            <w:left w:val="none" w:sz="0" w:space="0" w:color="auto"/>
                                                            <w:bottom w:val="none" w:sz="0" w:space="0" w:color="auto"/>
                                                            <w:right w:val="none" w:sz="0" w:space="0" w:color="auto"/>
                                                          </w:divBdr>
                                                          <w:divsChild>
                                                            <w:div w:id="1666131016">
                                                              <w:marLeft w:val="0"/>
                                                              <w:marRight w:val="0"/>
                                                              <w:marTop w:val="0"/>
                                                              <w:marBottom w:val="0"/>
                                                              <w:divBdr>
                                                                <w:top w:val="none" w:sz="0" w:space="0" w:color="auto"/>
                                                                <w:left w:val="none" w:sz="0" w:space="0" w:color="auto"/>
                                                                <w:bottom w:val="none" w:sz="0" w:space="0" w:color="auto"/>
                                                                <w:right w:val="none" w:sz="0" w:space="0" w:color="auto"/>
                                                              </w:divBdr>
                                                              <w:divsChild>
                                                                <w:div w:id="46994166">
                                                                  <w:marLeft w:val="0"/>
                                                                  <w:marRight w:val="0"/>
                                                                  <w:marTop w:val="83"/>
                                                                  <w:marBottom w:val="0"/>
                                                                  <w:divBdr>
                                                                    <w:top w:val="none" w:sz="0" w:space="0" w:color="auto"/>
                                                                    <w:left w:val="none" w:sz="0" w:space="0" w:color="auto"/>
                                                                    <w:bottom w:val="none" w:sz="0" w:space="0" w:color="auto"/>
                                                                    <w:right w:val="none" w:sz="0" w:space="0" w:color="auto"/>
                                                                  </w:divBdr>
                                                                  <w:divsChild>
                                                                    <w:div w:id="1866750232">
                                                                      <w:marLeft w:val="0"/>
                                                                      <w:marRight w:val="0"/>
                                                                      <w:marTop w:val="0"/>
                                                                      <w:marBottom w:val="0"/>
                                                                      <w:divBdr>
                                                                        <w:top w:val="none" w:sz="0" w:space="0" w:color="auto"/>
                                                                        <w:left w:val="none" w:sz="0" w:space="0" w:color="auto"/>
                                                                        <w:bottom w:val="none" w:sz="0" w:space="0" w:color="auto"/>
                                                                        <w:right w:val="none" w:sz="0" w:space="0" w:color="auto"/>
                                                                      </w:divBdr>
                                                                      <w:divsChild>
                                                                        <w:div w:id="15654116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95722">
      <w:bodyDiv w:val="1"/>
      <w:marLeft w:val="0"/>
      <w:marRight w:val="0"/>
      <w:marTop w:val="0"/>
      <w:marBottom w:val="0"/>
      <w:divBdr>
        <w:top w:val="none" w:sz="0" w:space="0" w:color="auto"/>
        <w:left w:val="none" w:sz="0" w:space="0" w:color="auto"/>
        <w:bottom w:val="none" w:sz="0" w:space="0" w:color="auto"/>
        <w:right w:val="none" w:sz="0" w:space="0" w:color="auto"/>
      </w:divBdr>
      <w:divsChild>
        <w:div w:id="653947084">
          <w:marLeft w:val="0"/>
          <w:marRight w:val="0"/>
          <w:marTop w:val="0"/>
          <w:marBottom w:val="0"/>
          <w:divBdr>
            <w:top w:val="none" w:sz="0" w:space="0" w:color="auto"/>
            <w:left w:val="none" w:sz="0" w:space="0" w:color="auto"/>
            <w:bottom w:val="none" w:sz="0" w:space="0" w:color="auto"/>
            <w:right w:val="none" w:sz="0" w:space="0" w:color="auto"/>
          </w:divBdr>
          <w:divsChild>
            <w:div w:id="908225641">
              <w:marLeft w:val="0"/>
              <w:marRight w:val="0"/>
              <w:marTop w:val="0"/>
              <w:marBottom w:val="0"/>
              <w:divBdr>
                <w:top w:val="none" w:sz="0" w:space="0" w:color="auto"/>
                <w:left w:val="none" w:sz="0" w:space="0" w:color="auto"/>
                <w:bottom w:val="none" w:sz="0" w:space="0" w:color="auto"/>
                <w:right w:val="none" w:sz="0" w:space="0" w:color="auto"/>
              </w:divBdr>
              <w:divsChild>
                <w:div w:id="1618945111">
                  <w:marLeft w:val="0"/>
                  <w:marRight w:val="0"/>
                  <w:marTop w:val="105"/>
                  <w:marBottom w:val="0"/>
                  <w:divBdr>
                    <w:top w:val="none" w:sz="0" w:space="0" w:color="auto"/>
                    <w:left w:val="none" w:sz="0" w:space="0" w:color="auto"/>
                    <w:bottom w:val="none" w:sz="0" w:space="0" w:color="auto"/>
                    <w:right w:val="none" w:sz="0" w:space="0" w:color="auto"/>
                  </w:divBdr>
                  <w:divsChild>
                    <w:div w:id="167988352">
                      <w:marLeft w:val="450"/>
                      <w:marRight w:val="225"/>
                      <w:marTop w:val="0"/>
                      <w:marBottom w:val="0"/>
                      <w:divBdr>
                        <w:top w:val="none" w:sz="0" w:space="0" w:color="auto"/>
                        <w:left w:val="none" w:sz="0" w:space="0" w:color="auto"/>
                        <w:bottom w:val="none" w:sz="0" w:space="0" w:color="auto"/>
                        <w:right w:val="none" w:sz="0" w:space="0" w:color="auto"/>
                      </w:divBdr>
                      <w:divsChild>
                        <w:div w:id="787118038">
                          <w:marLeft w:val="0"/>
                          <w:marRight w:val="0"/>
                          <w:marTop w:val="0"/>
                          <w:marBottom w:val="600"/>
                          <w:divBdr>
                            <w:top w:val="single" w:sz="6" w:space="0" w:color="314664"/>
                            <w:left w:val="single" w:sz="6" w:space="0" w:color="314664"/>
                            <w:bottom w:val="single" w:sz="6" w:space="0" w:color="314664"/>
                            <w:right w:val="single" w:sz="6" w:space="0" w:color="314664"/>
                          </w:divBdr>
                          <w:divsChild>
                            <w:div w:id="1416364660">
                              <w:marLeft w:val="0"/>
                              <w:marRight w:val="0"/>
                              <w:marTop w:val="0"/>
                              <w:marBottom w:val="0"/>
                              <w:divBdr>
                                <w:top w:val="none" w:sz="0" w:space="0" w:color="auto"/>
                                <w:left w:val="none" w:sz="0" w:space="0" w:color="auto"/>
                                <w:bottom w:val="none" w:sz="0" w:space="0" w:color="auto"/>
                                <w:right w:val="none" w:sz="0" w:space="0" w:color="auto"/>
                              </w:divBdr>
                              <w:divsChild>
                                <w:div w:id="1557668592">
                                  <w:marLeft w:val="0"/>
                                  <w:marRight w:val="0"/>
                                  <w:marTop w:val="0"/>
                                  <w:marBottom w:val="0"/>
                                  <w:divBdr>
                                    <w:top w:val="none" w:sz="0" w:space="0" w:color="auto"/>
                                    <w:left w:val="none" w:sz="0" w:space="0" w:color="auto"/>
                                    <w:bottom w:val="none" w:sz="0" w:space="0" w:color="auto"/>
                                    <w:right w:val="none" w:sz="0" w:space="0" w:color="auto"/>
                                  </w:divBdr>
                                  <w:divsChild>
                                    <w:div w:id="1162047198">
                                      <w:marLeft w:val="0"/>
                                      <w:marRight w:val="0"/>
                                      <w:marTop w:val="0"/>
                                      <w:marBottom w:val="0"/>
                                      <w:divBdr>
                                        <w:top w:val="none" w:sz="0" w:space="0" w:color="auto"/>
                                        <w:left w:val="none" w:sz="0" w:space="0" w:color="auto"/>
                                        <w:bottom w:val="none" w:sz="0" w:space="0" w:color="auto"/>
                                        <w:right w:val="none" w:sz="0" w:space="0" w:color="auto"/>
                                      </w:divBdr>
                                      <w:divsChild>
                                        <w:div w:id="750464412">
                                          <w:marLeft w:val="0"/>
                                          <w:marRight w:val="0"/>
                                          <w:marTop w:val="0"/>
                                          <w:marBottom w:val="0"/>
                                          <w:divBdr>
                                            <w:top w:val="none" w:sz="0" w:space="0" w:color="auto"/>
                                            <w:left w:val="none" w:sz="0" w:space="0" w:color="auto"/>
                                            <w:bottom w:val="none" w:sz="0" w:space="0" w:color="auto"/>
                                            <w:right w:val="none" w:sz="0" w:space="0" w:color="auto"/>
                                          </w:divBdr>
                                          <w:divsChild>
                                            <w:div w:id="1709253812">
                                              <w:marLeft w:val="0"/>
                                              <w:marRight w:val="0"/>
                                              <w:marTop w:val="0"/>
                                              <w:marBottom w:val="0"/>
                                              <w:divBdr>
                                                <w:top w:val="none" w:sz="0" w:space="0" w:color="auto"/>
                                                <w:left w:val="none" w:sz="0" w:space="0" w:color="auto"/>
                                                <w:bottom w:val="none" w:sz="0" w:space="0" w:color="auto"/>
                                                <w:right w:val="none" w:sz="0" w:space="0" w:color="auto"/>
                                              </w:divBdr>
                                              <w:divsChild>
                                                <w:div w:id="1508405946">
                                                  <w:marLeft w:val="0"/>
                                                  <w:marRight w:val="0"/>
                                                  <w:marTop w:val="0"/>
                                                  <w:marBottom w:val="0"/>
                                                  <w:divBdr>
                                                    <w:top w:val="none" w:sz="0" w:space="0" w:color="auto"/>
                                                    <w:left w:val="none" w:sz="0" w:space="0" w:color="auto"/>
                                                    <w:bottom w:val="none" w:sz="0" w:space="0" w:color="auto"/>
                                                    <w:right w:val="none" w:sz="0" w:space="0" w:color="auto"/>
                                                  </w:divBdr>
                                                  <w:divsChild>
                                                    <w:div w:id="1840847779">
                                                      <w:marLeft w:val="0"/>
                                                      <w:marRight w:val="0"/>
                                                      <w:marTop w:val="0"/>
                                                      <w:marBottom w:val="0"/>
                                                      <w:divBdr>
                                                        <w:top w:val="none" w:sz="0" w:space="0" w:color="auto"/>
                                                        <w:left w:val="none" w:sz="0" w:space="0" w:color="auto"/>
                                                        <w:bottom w:val="none" w:sz="0" w:space="0" w:color="auto"/>
                                                        <w:right w:val="none" w:sz="0" w:space="0" w:color="auto"/>
                                                      </w:divBdr>
                                                      <w:divsChild>
                                                        <w:div w:id="2079788212">
                                                          <w:marLeft w:val="0"/>
                                                          <w:marRight w:val="0"/>
                                                          <w:marTop w:val="0"/>
                                                          <w:marBottom w:val="0"/>
                                                          <w:divBdr>
                                                            <w:top w:val="none" w:sz="0" w:space="0" w:color="auto"/>
                                                            <w:left w:val="none" w:sz="0" w:space="0" w:color="auto"/>
                                                            <w:bottom w:val="none" w:sz="0" w:space="0" w:color="auto"/>
                                                            <w:right w:val="none" w:sz="0" w:space="0" w:color="auto"/>
                                                          </w:divBdr>
                                                          <w:divsChild>
                                                            <w:div w:id="525140048">
                                                              <w:marLeft w:val="0"/>
                                                              <w:marRight w:val="0"/>
                                                              <w:marTop w:val="0"/>
                                                              <w:marBottom w:val="0"/>
                                                              <w:divBdr>
                                                                <w:top w:val="none" w:sz="0" w:space="0" w:color="auto"/>
                                                                <w:left w:val="none" w:sz="0" w:space="0" w:color="auto"/>
                                                                <w:bottom w:val="none" w:sz="0" w:space="0" w:color="auto"/>
                                                                <w:right w:val="none" w:sz="0" w:space="0" w:color="auto"/>
                                                              </w:divBdr>
                                                              <w:divsChild>
                                                                <w:div w:id="835416540">
                                                                  <w:marLeft w:val="0"/>
                                                                  <w:marRight w:val="0"/>
                                                                  <w:marTop w:val="83"/>
                                                                  <w:marBottom w:val="0"/>
                                                                  <w:divBdr>
                                                                    <w:top w:val="none" w:sz="0" w:space="0" w:color="auto"/>
                                                                    <w:left w:val="none" w:sz="0" w:space="0" w:color="auto"/>
                                                                    <w:bottom w:val="none" w:sz="0" w:space="0" w:color="auto"/>
                                                                    <w:right w:val="none" w:sz="0" w:space="0" w:color="auto"/>
                                                                  </w:divBdr>
                                                                </w:div>
                                                              </w:divsChild>
                                                            </w:div>
                                                            <w:div w:id="774712468">
                                                              <w:marLeft w:val="0"/>
                                                              <w:marRight w:val="0"/>
                                                              <w:marTop w:val="0"/>
                                                              <w:marBottom w:val="0"/>
                                                              <w:divBdr>
                                                                <w:top w:val="none" w:sz="0" w:space="0" w:color="auto"/>
                                                                <w:left w:val="none" w:sz="0" w:space="0" w:color="auto"/>
                                                                <w:bottom w:val="none" w:sz="0" w:space="0" w:color="auto"/>
                                                                <w:right w:val="none" w:sz="0" w:space="0" w:color="auto"/>
                                                              </w:divBdr>
                                                              <w:divsChild>
                                                                <w:div w:id="1548643283">
                                                                  <w:marLeft w:val="0"/>
                                                                  <w:marRight w:val="0"/>
                                                                  <w:marTop w:val="83"/>
                                                                  <w:marBottom w:val="0"/>
                                                                  <w:divBdr>
                                                                    <w:top w:val="none" w:sz="0" w:space="0" w:color="auto"/>
                                                                    <w:left w:val="none" w:sz="0" w:space="0" w:color="auto"/>
                                                                    <w:bottom w:val="none" w:sz="0" w:space="0" w:color="auto"/>
                                                                    <w:right w:val="none" w:sz="0" w:space="0" w:color="auto"/>
                                                                  </w:divBdr>
                                                                  <w:divsChild>
                                                                    <w:div w:id="420571673">
                                                                      <w:marLeft w:val="0"/>
                                                                      <w:marRight w:val="0"/>
                                                                      <w:marTop w:val="0"/>
                                                                      <w:marBottom w:val="0"/>
                                                                      <w:divBdr>
                                                                        <w:top w:val="none" w:sz="0" w:space="0" w:color="auto"/>
                                                                        <w:left w:val="none" w:sz="0" w:space="0" w:color="auto"/>
                                                                        <w:bottom w:val="none" w:sz="0" w:space="0" w:color="auto"/>
                                                                        <w:right w:val="none" w:sz="0" w:space="0" w:color="auto"/>
                                                                      </w:divBdr>
                                                                      <w:divsChild>
                                                                        <w:div w:id="581717585">
                                                                          <w:marLeft w:val="0"/>
                                                                          <w:marRight w:val="0"/>
                                                                          <w:marTop w:val="83"/>
                                                                          <w:marBottom w:val="0"/>
                                                                          <w:divBdr>
                                                                            <w:top w:val="none" w:sz="0" w:space="0" w:color="auto"/>
                                                                            <w:left w:val="none" w:sz="0" w:space="0" w:color="auto"/>
                                                                            <w:bottom w:val="none" w:sz="0" w:space="0" w:color="auto"/>
                                                                            <w:right w:val="none" w:sz="0" w:space="0" w:color="auto"/>
                                                                          </w:divBdr>
                                                                        </w:div>
                                                                      </w:divsChild>
                                                                    </w:div>
                                                                    <w:div w:id="906115415">
                                                                      <w:marLeft w:val="0"/>
                                                                      <w:marRight w:val="0"/>
                                                                      <w:marTop w:val="0"/>
                                                                      <w:marBottom w:val="0"/>
                                                                      <w:divBdr>
                                                                        <w:top w:val="none" w:sz="0" w:space="0" w:color="auto"/>
                                                                        <w:left w:val="none" w:sz="0" w:space="0" w:color="auto"/>
                                                                        <w:bottom w:val="none" w:sz="0" w:space="0" w:color="auto"/>
                                                                        <w:right w:val="none" w:sz="0" w:space="0" w:color="auto"/>
                                                                      </w:divBdr>
                                                                      <w:divsChild>
                                                                        <w:div w:id="580532596">
                                                                          <w:marLeft w:val="0"/>
                                                                          <w:marRight w:val="0"/>
                                                                          <w:marTop w:val="83"/>
                                                                          <w:marBottom w:val="0"/>
                                                                          <w:divBdr>
                                                                            <w:top w:val="none" w:sz="0" w:space="0" w:color="auto"/>
                                                                            <w:left w:val="none" w:sz="0" w:space="0" w:color="auto"/>
                                                                            <w:bottom w:val="none" w:sz="0" w:space="0" w:color="auto"/>
                                                                            <w:right w:val="none" w:sz="0" w:space="0" w:color="auto"/>
                                                                          </w:divBdr>
                                                                        </w:div>
                                                                      </w:divsChild>
                                                                    </w:div>
                                                                    <w:div w:id="1151363353">
                                                                      <w:marLeft w:val="0"/>
                                                                      <w:marRight w:val="0"/>
                                                                      <w:marTop w:val="0"/>
                                                                      <w:marBottom w:val="0"/>
                                                                      <w:divBdr>
                                                                        <w:top w:val="none" w:sz="0" w:space="0" w:color="auto"/>
                                                                        <w:left w:val="none" w:sz="0" w:space="0" w:color="auto"/>
                                                                        <w:bottom w:val="none" w:sz="0" w:space="0" w:color="auto"/>
                                                                        <w:right w:val="none" w:sz="0" w:space="0" w:color="auto"/>
                                                                      </w:divBdr>
                                                                      <w:divsChild>
                                                                        <w:div w:id="1501310868">
                                                                          <w:marLeft w:val="0"/>
                                                                          <w:marRight w:val="0"/>
                                                                          <w:marTop w:val="83"/>
                                                                          <w:marBottom w:val="0"/>
                                                                          <w:divBdr>
                                                                            <w:top w:val="none" w:sz="0" w:space="0" w:color="auto"/>
                                                                            <w:left w:val="none" w:sz="0" w:space="0" w:color="auto"/>
                                                                            <w:bottom w:val="none" w:sz="0" w:space="0" w:color="auto"/>
                                                                            <w:right w:val="none" w:sz="0" w:space="0" w:color="auto"/>
                                                                          </w:divBdr>
                                                                        </w:div>
                                                                      </w:divsChild>
                                                                    </w:div>
                                                                    <w:div w:id="1468430626">
                                                                      <w:marLeft w:val="0"/>
                                                                      <w:marRight w:val="0"/>
                                                                      <w:marTop w:val="0"/>
                                                                      <w:marBottom w:val="0"/>
                                                                      <w:divBdr>
                                                                        <w:top w:val="none" w:sz="0" w:space="0" w:color="auto"/>
                                                                        <w:left w:val="none" w:sz="0" w:space="0" w:color="auto"/>
                                                                        <w:bottom w:val="none" w:sz="0" w:space="0" w:color="auto"/>
                                                                        <w:right w:val="none" w:sz="0" w:space="0" w:color="auto"/>
                                                                      </w:divBdr>
                                                                      <w:divsChild>
                                                                        <w:div w:id="458885436">
                                                                          <w:marLeft w:val="0"/>
                                                                          <w:marRight w:val="0"/>
                                                                          <w:marTop w:val="83"/>
                                                                          <w:marBottom w:val="0"/>
                                                                          <w:divBdr>
                                                                            <w:top w:val="none" w:sz="0" w:space="0" w:color="auto"/>
                                                                            <w:left w:val="none" w:sz="0" w:space="0" w:color="auto"/>
                                                                            <w:bottom w:val="none" w:sz="0" w:space="0" w:color="auto"/>
                                                                            <w:right w:val="none" w:sz="0" w:space="0" w:color="auto"/>
                                                                          </w:divBdr>
                                                                        </w:div>
                                                                      </w:divsChild>
                                                                    </w:div>
                                                                    <w:div w:id="1602181934">
                                                                      <w:marLeft w:val="0"/>
                                                                      <w:marRight w:val="0"/>
                                                                      <w:marTop w:val="0"/>
                                                                      <w:marBottom w:val="0"/>
                                                                      <w:divBdr>
                                                                        <w:top w:val="none" w:sz="0" w:space="0" w:color="auto"/>
                                                                        <w:left w:val="none" w:sz="0" w:space="0" w:color="auto"/>
                                                                        <w:bottom w:val="none" w:sz="0" w:space="0" w:color="auto"/>
                                                                        <w:right w:val="none" w:sz="0" w:space="0" w:color="auto"/>
                                                                      </w:divBdr>
                                                                      <w:divsChild>
                                                                        <w:div w:id="2075539649">
                                                                          <w:marLeft w:val="0"/>
                                                                          <w:marRight w:val="0"/>
                                                                          <w:marTop w:val="83"/>
                                                                          <w:marBottom w:val="0"/>
                                                                          <w:divBdr>
                                                                            <w:top w:val="none" w:sz="0" w:space="0" w:color="auto"/>
                                                                            <w:left w:val="none" w:sz="0" w:space="0" w:color="auto"/>
                                                                            <w:bottom w:val="none" w:sz="0" w:space="0" w:color="auto"/>
                                                                            <w:right w:val="none" w:sz="0" w:space="0" w:color="auto"/>
                                                                          </w:divBdr>
                                                                        </w:div>
                                                                      </w:divsChild>
                                                                    </w:div>
                                                                    <w:div w:id="1697466741">
                                                                      <w:marLeft w:val="0"/>
                                                                      <w:marRight w:val="0"/>
                                                                      <w:marTop w:val="0"/>
                                                                      <w:marBottom w:val="0"/>
                                                                      <w:divBdr>
                                                                        <w:top w:val="none" w:sz="0" w:space="0" w:color="auto"/>
                                                                        <w:left w:val="none" w:sz="0" w:space="0" w:color="auto"/>
                                                                        <w:bottom w:val="none" w:sz="0" w:space="0" w:color="auto"/>
                                                                        <w:right w:val="none" w:sz="0" w:space="0" w:color="auto"/>
                                                                      </w:divBdr>
                                                                      <w:divsChild>
                                                                        <w:div w:id="271203858">
                                                                          <w:marLeft w:val="0"/>
                                                                          <w:marRight w:val="0"/>
                                                                          <w:marTop w:val="83"/>
                                                                          <w:marBottom w:val="0"/>
                                                                          <w:divBdr>
                                                                            <w:top w:val="none" w:sz="0" w:space="0" w:color="auto"/>
                                                                            <w:left w:val="none" w:sz="0" w:space="0" w:color="auto"/>
                                                                            <w:bottom w:val="none" w:sz="0" w:space="0" w:color="auto"/>
                                                                            <w:right w:val="none" w:sz="0" w:space="0" w:color="auto"/>
                                                                          </w:divBdr>
                                                                        </w:div>
                                                                      </w:divsChild>
                                                                    </w:div>
                                                                    <w:div w:id="1853491244">
                                                                      <w:marLeft w:val="0"/>
                                                                      <w:marRight w:val="0"/>
                                                                      <w:marTop w:val="0"/>
                                                                      <w:marBottom w:val="0"/>
                                                                      <w:divBdr>
                                                                        <w:top w:val="none" w:sz="0" w:space="0" w:color="auto"/>
                                                                        <w:left w:val="none" w:sz="0" w:space="0" w:color="auto"/>
                                                                        <w:bottom w:val="none" w:sz="0" w:space="0" w:color="auto"/>
                                                                        <w:right w:val="none" w:sz="0" w:space="0" w:color="auto"/>
                                                                      </w:divBdr>
                                                                      <w:divsChild>
                                                                        <w:div w:id="78180588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11906904">
                                                              <w:marLeft w:val="0"/>
                                                              <w:marRight w:val="0"/>
                                                              <w:marTop w:val="0"/>
                                                              <w:marBottom w:val="0"/>
                                                              <w:divBdr>
                                                                <w:top w:val="none" w:sz="0" w:space="0" w:color="auto"/>
                                                                <w:left w:val="none" w:sz="0" w:space="0" w:color="auto"/>
                                                                <w:bottom w:val="none" w:sz="0" w:space="0" w:color="auto"/>
                                                                <w:right w:val="none" w:sz="0" w:space="0" w:color="auto"/>
                                                              </w:divBdr>
                                                              <w:divsChild>
                                                                <w:div w:id="1877546232">
                                                                  <w:marLeft w:val="0"/>
                                                                  <w:marRight w:val="0"/>
                                                                  <w:marTop w:val="83"/>
                                                                  <w:marBottom w:val="0"/>
                                                                  <w:divBdr>
                                                                    <w:top w:val="none" w:sz="0" w:space="0" w:color="auto"/>
                                                                    <w:left w:val="none" w:sz="0" w:space="0" w:color="auto"/>
                                                                    <w:bottom w:val="none" w:sz="0" w:space="0" w:color="auto"/>
                                                                    <w:right w:val="none" w:sz="0" w:space="0" w:color="auto"/>
                                                                  </w:divBdr>
                                                                  <w:divsChild>
                                                                    <w:div w:id="1017657192">
                                                                      <w:marLeft w:val="0"/>
                                                                      <w:marRight w:val="0"/>
                                                                      <w:marTop w:val="0"/>
                                                                      <w:marBottom w:val="0"/>
                                                                      <w:divBdr>
                                                                        <w:top w:val="none" w:sz="0" w:space="0" w:color="auto"/>
                                                                        <w:left w:val="none" w:sz="0" w:space="0" w:color="auto"/>
                                                                        <w:bottom w:val="none" w:sz="0" w:space="0" w:color="auto"/>
                                                                        <w:right w:val="none" w:sz="0" w:space="0" w:color="auto"/>
                                                                      </w:divBdr>
                                                                      <w:divsChild>
                                                                        <w:div w:id="253706816">
                                                                          <w:marLeft w:val="0"/>
                                                                          <w:marRight w:val="0"/>
                                                                          <w:marTop w:val="83"/>
                                                                          <w:marBottom w:val="0"/>
                                                                          <w:divBdr>
                                                                            <w:top w:val="none" w:sz="0" w:space="0" w:color="auto"/>
                                                                            <w:left w:val="none" w:sz="0" w:space="0" w:color="auto"/>
                                                                            <w:bottom w:val="none" w:sz="0" w:space="0" w:color="auto"/>
                                                                            <w:right w:val="none" w:sz="0" w:space="0" w:color="auto"/>
                                                                          </w:divBdr>
                                                                          <w:divsChild>
                                                                            <w:div w:id="483084797">
                                                                              <w:marLeft w:val="0"/>
                                                                              <w:marRight w:val="0"/>
                                                                              <w:marTop w:val="0"/>
                                                                              <w:marBottom w:val="0"/>
                                                                              <w:divBdr>
                                                                                <w:top w:val="none" w:sz="0" w:space="0" w:color="auto"/>
                                                                                <w:left w:val="none" w:sz="0" w:space="0" w:color="auto"/>
                                                                                <w:bottom w:val="none" w:sz="0" w:space="0" w:color="auto"/>
                                                                                <w:right w:val="none" w:sz="0" w:space="0" w:color="auto"/>
                                                                              </w:divBdr>
                                                                              <w:divsChild>
                                                                                <w:div w:id="448817270">
                                                                                  <w:marLeft w:val="0"/>
                                                                                  <w:marRight w:val="0"/>
                                                                                  <w:marTop w:val="83"/>
                                                                                  <w:marBottom w:val="0"/>
                                                                                  <w:divBdr>
                                                                                    <w:top w:val="none" w:sz="0" w:space="0" w:color="auto"/>
                                                                                    <w:left w:val="none" w:sz="0" w:space="0" w:color="auto"/>
                                                                                    <w:bottom w:val="none" w:sz="0" w:space="0" w:color="auto"/>
                                                                                    <w:right w:val="none" w:sz="0" w:space="0" w:color="auto"/>
                                                                                  </w:divBdr>
                                                                                </w:div>
                                                                              </w:divsChild>
                                                                            </w:div>
                                                                            <w:div w:id="557664351">
                                                                              <w:marLeft w:val="0"/>
                                                                              <w:marRight w:val="0"/>
                                                                              <w:marTop w:val="0"/>
                                                                              <w:marBottom w:val="0"/>
                                                                              <w:divBdr>
                                                                                <w:top w:val="none" w:sz="0" w:space="0" w:color="auto"/>
                                                                                <w:left w:val="none" w:sz="0" w:space="0" w:color="auto"/>
                                                                                <w:bottom w:val="none" w:sz="0" w:space="0" w:color="auto"/>
                                                                                <w:right w:val="none" w:sz="0" w:space="0" w:color="auto"/>
                                                                              </w:divBdr>
                                                                              <w:divsChild>
                                                                                <w:div w:id="170801660">
                                                                                  <w:marLeft w:val="0"/>
                                                                                  <w:marRight w:val="0"/>
                                                                                  <w:marTop w:val="83"/>
                                                                                  <w:marBottom w:val="0"/>
                                                                                  <w:divBdr>
                                                                                    <w:top w:val="none" w:sz="0" w:space="0" w:color="auto"/>
                                                                                    <w:left w:val="none" w:sz="0" w:space="0" w:color="auto"/>
                                                                                    <w:bottom w:val="none" w:sz="0" w:space="0" w:color="auto"/>
                                                                                    <w:right w:val="none" w:sz="0" w:space="0" w:color="auto"/>
                                                                                  </w:divBdr>
                                                                                </w:div>
                                                                              </w:divsChild>
                                                                            </w:div>
                                                                            <w:div w:id="833641990">
                                                                              <w:marLeft w:val="0"/>
                                                                              <w:marRight w:val="0"/>
                                                                              <w:marTop w:val="0"/>
                                                                              <w:marBottom w:val="0"/>
                                                                              <w:divBdr>
                                                                                <w:top w:val="none" w:sz="0" w:space="0" w:color="auto"/>
                                                                                <w:left w:val="none" w:sz="0" w:space="0" w:color="auto"/>
                                                                                <w:bottom w:val="none" w:sz="0" w:space="0" w:color="auto"/>
                                                                                <w:right w:val="none" w:sz="0" w:space="0" w:color="auto"/>
                                                                              </w:divBdr>
                                                                              <w:divsChild>
                                                                                <w:div w:id="2088308832">
                                                                                  <w:marLeft w:val="0"/>
                                                                                  <w:marRight w:val="0"/>
                                                                                  <w:marTop w:val="83"/>
                                                                                  <w:marBottom w:val="0"/>
                                                                                  <w:divBdr>
                                                                                    <w:top w:val="none" w:sz="0" w:space="0" w:color="auto"/>
                                                                                    <w:left w:val="none" w:sz="0" w:space="0" w:color="auto"/>
                                                                                    <w:bottom w:val="none" w:sz="0" w:space="0" w:color="auto"/>
                                                                                    <w:right w:val="none" w:sz="0" w:space="0" w:color="auto"/>
                                                                                  </w:divBdr>
                                                                                </w:div>
                                                                              </w:divsChild>
                                                                            </w:div>
                                                                            <w:div w:id="1879900951">
                                                                              <w:marLeft w:val="0"/>
                                                                              <w:marRight w:val="0"/>
                                                                              <w:marTop w:val="0"/>
                                                                              <w:marBottom w:val="0"/>
                                                                              <w:divBdr>
                                                                                <w:top w:val="none" w:sz="0" w:space="0" w:color="auto"/>
                                                                                <w:left w:val="none" w:sz="0" w:space="0" w:color="auto"/>
                                                                                <w:bottom w:val="none" w:sz="0" w:space="0" w:color="auto"/>
                                                                                <w:right w:val="none" w:sz="0" w:space="0" w:color="auto"/>
                                                                              </w:divBdr>
                                                                              <w:divsChild>
                                                                                <w:div w:id="87800907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971592547">
                                                                      <w:marLeft w:val="0"/>
                                                                      <w:marRight w:val="0"/>
                                                                      <w:marTop w:val="0"/>
                                                                      <w:marBottom w:val="0"/>
                                                                      <w:divBdr>
                                                                        <w:top w:val="none" w:sz="0" w:space="0" w:color="auto"/>
                                                                        <w:left w:val="none" w:sz="0" w:space="0" w:color="auto"/>
                                                                        <w:bottom w:val="none" w:sz="0" w:space="0" w:color="auto"/>
                                                                        <w:right w:val="none" w:sz="0" w:space="0" w:color="auto"/>
                                                                      </w:divBdr>
                                                                      <w:divsChild>
                                                                        <w:div w:id="773522495">
                                                                          <w:marLeft w:val="0"/>
                                                                          <w:marRight w:val="0"/>
                                                                          <w:marTop w:val="83"/>
                                                                          <w:marBottom w:val="0"/>
                                                                          <w:divBdr>
                                                                            <w:top w:val="none" w:sz="0" w:space="0" w:color="auto"/>
                                                                            <w:left w:val="none" w:sz="0" w:space="0" w:color="auto"/>
                                                                            <w:bottom w:val="none" w:sz="0" w:space="0" w:color="auto"/>
                                                                            <w:right w:val="none" w:sz="0" w:space="0" w:color="auto"/>
                                                                          </w:divBdr>
                                                                        </w:div>
                                                                      </w:divsChild>
                                                                    </w:div>
                                                                    <w:div w:id="1993489010">
                                                                      <w:marLeft w:val="0"/>
                                                                      <w:marRight w:val="0"/>
                                                                      <w:marTop w:val="0"/>
                                                                      <w:marBottom w:val="0"/>
                                                                      <w:divBdr>
                                                                        <w:top w:val="none" w:sz="0" w:space="0" w:color="auto"/>
                                                                        <w:left w:val="none" w:sz="0" w:space="0" w:color="auto"/>
                                                                        <w:bottom w:val="none" w:sz="0" w:space="0" w:color="auto"/>
                                                                        <w:right w:val="none" w:sz="0" w:space="0" w:color="auto"/>
                                                                      </w:divBdr>
                                                                      <w:divsChild>
                                                                        <w:div w:id="83584950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5043">
      <w:bodyDiv w:val="1"/>
      <w:marLeft w:val="0"/>
      <w:marRight w:val="0"/>
      <w:marTop w:val="0"/>
      <w:marBottom w:val="0"/>
      <w:divBdr>
        <w:top w:val="none" w:sz="0" w:space="0" w:color="auto"/>
        <w:left w:val="none" w:sz="0" w:space="0" w:color="auto"/>
        <w:bottom w:val="none" w:sz="0" w:space="0" w:color="auto"/>
        <w:right w:val="none" w:sz="0" w:space="0" w:color="auto"/>
      </w:divBdr>
      <w:divsChild>
        <w:div w:id="418020237">
          <w:marLeft w:val="0"/>
          <w:marRight w:val="0"/>
          <w:marTop w:val="0"/>
          <w:marBottom w:val="0"/>
          <w:divBdr>
            <w:top w:val="none" w:sz="0" w:space="0" w:color="auto"/>
            <w:left w:val="none" w:sz="0" w:space="0" w:color="auto"/>
            <w:bottom w:val="none" w:sz="0" w:space="0" w:color="auto"/>
            <w:right w:val="none" w:sz="0" w:space="0" w:color="auto"/>
          </w:divBdr>
          <w:divsChild>
            <w:div w:id="695275608">
              <w:marLeft w:val="0"/>
              <w:marRight w:val="0"/>
              <w:marTop w:val="0"/>
              <w:marBottom w:val="0"/>
              <w:divBdr>
                <w:top w:val="none" w:sz="0" w:space="0" w:color="auto"/>
                <w:left w:val="none" w:sz="0" w:space="0" w:color="auto"/>
                <w:bottom w:val="none" w:sz="0" w:space="0" w:color="auto"/>
                <w:right w:val="none" w:sz="0" w:space="0" w:color="auto"/>
              </w:divBdr>
              <w:divsChild>
                <w:div w:id="1851721589">
                  <w:marLeft w:val="0"/>
                  <w:marRight w:val="0"/>
                  <w:marTop w:val="105"/>
                  <w:marBottom w:val="0"/>
                  <w:divBdr>
                    <w:top w:val="none" w:sz="0" w:space="0" w:color="auto"/>
                    <w:left w:val="none" w:sz="0" w:space="0" w:color="auto"/>
                    <w:bottom w:val="none" w:sz="0" w:space="0" w:color="auto"/>
                    <w:right w:val="none" w:sz="0" w:space="0" w:color="auto"/>
                  </w:divBdr>
                  <w:divsChild>
                    <w:div w:id="168300021">
                      <w:marLeft w:val="450"/>
                      <w:marRight w:val="225"/>
                      <w:marTop w:val="0"/>
                      <w:marBottom w:val="0"/>
                      <w:divBdr>
                        <w:top w:val="none" w:sz="0" w:space="0" w:color="auto"/>
                        <w:left w:val="none" w:sz="0" w:space="0" w:color="auto"/>
                        <w:bottom w:val="none" w:sz="0" w:space="0" w:color="auto"/>
                        <w:right w:val="none" w:sz="0" w:space="0" w:color="auto"/>
                      </w:divBdr>
                      <w:divsChild>
                        <w:div w:id="180902728">
                          <w:marLeft w:val="0"/>
                          <w:marRight w:val="0"/>
                          <w:marTop w:val="0"/>
                          <w:marBottom w:val="600"/>
                          <w:divBdr>
                            <w:top w:val="single" w:sz="6" w:space="0" w:color="314664"/>
                            <w:left w:val="single" w:sz="6" w:space="0" w:color="314664"/>
                            <w:bottom w:val="single" w:sz="6" w:space="0" w:color="314664"/>
                            <w:right w:val="single" w:sz="6" w:space="0" w:color="314664"/>
                          </w:divBdr>
                          <w:divsChild>
                            <w:div w:id="400912142">
                              <w:marLeft w:val="0"/>
                              <w:marRight w:val="0"/>
                              <w:marTop w:val="0"/>
                              <w:marBottom w:val="0"/>
                              <w:divBdr>
                                <w:top w:val="none" w:sz="0" w:space="0" w:color="auto"/>
                                <w:left w:val="none" w:sz="0" w:space="0" w:color="auto"/>
                                <w:bottom w:val="none" w:sz="0" w:space="0" w:color="auto"/>
                                <w:right w:val="none" w:sz="0" w:space="0" w:color="auto"/>
                              </w:divBdr>
                              <w:divsChild>
                                <w:div w:id="1059133128">
                                  <w:marLeft w:val="0"/>
                                  <w:marRight w:val="0"/>
                                  <w:marTop w:val="0"/>
                                  <w:marBottom w:val="0"/>
                                  <w:divBdr>
                                    <w:top w:val="none" w:sz="0" w:space="0" w:color="auto"/>
                                    <w:left w:val="none" w:sz="0" w:space="0" w:color="auto"/>
                                    <w:bottom w:val="none" w:sz="0" w:space="0" w:color="auto"/>
                                    <w:right w:val="none" w:sz="0" w:space="0" w:color="auto"/>
                                  </w:divBdr>
                                  <w:divsChild>
                                    <w:div w:id="1834640042">
                                      <w:marLeft w:val="0"/>
                                      <w:marRight w:val="0"/>
                                      <w:marTop w:val="0"/>
                                      <w:marBottom w:val="0"/>
                                      <w:divBdr>
                                        <w:top w:val="none" w:sz="0" w:space="0" w:color="auto"/>
                                        <w:left w:val="none" w:sz="0" w:space="0" w:color="auto"/>
                                        <w:bottom w:val="none" w:sz="0" w:space="0" w:color="auto"/>
                                        <w:right w:val="none" w:sz="0" w:space="0" w:color="auto"/>
                                      </w:divBdr>
                                      <w:divsChild>
                                        <w:div w:id="1772431956">
                                          <w:marLeft w:val="0"/>
                                          <w:marRight w:val="0"/>
                                          <w:marTop w:val="0"/>
                                          <w:marBottom w:val="0"/>
                                          <w:divBdr>
                                            <w:top w:val="none" w:sz="0" w:space="0" w:color="auto"/>
                                            <w:left w:val="none" w:sz="0" w:space="0" w:color="auto"/>
                                            <w:bottom w:val="none" w:sz="0" w:space="0" w:color="auto"/>
                                            <w:right w:val="none" w:sz="0" w:space="0" w:color="auto"/>
                                          </w:divBdr>
                                          <w:divsChild>
                                            <w:div w:id="506217306">
                                              <w:marLeft w:val="0"/>
                                              <w:marRight w:val="0"/>
                                              <w:marTop w:val="0"/>
                                              <w:marBottom w:val="0"/>
                                              <w:divBdr>
                                                <w:top w:val="none" w:sz="0" w:space="0" w:color="auto"/>
                                                <w:left w:val="none" w:sz="0" w:space="0" w:color="auto"/>
                                                <w:bottom w:val="none" w:sz="0" w:space="0" w:color="auto"/>
                                                <w:right w:val="none" w:sz="0" w:space="0" w:color="auto"/>
                                              </w:divBdr>
                                              <w:divsChild>
                                                <w:div w:id="351608378">
                                                  <w:marLeft w:val="0"/>
                                                  <w:marRight w:val="0"/>
                                                  <w:marTop w:val="0"/>
                                                  <w:marBottom w:val="0"/>
                                                  <w:divBdr>
                                                    <w:top w:val="none" w:sz="0" w:space="0" w:color="auto"/>
                                                    <w:left w:val="none" w:sz="0" w:space="0" w:color="auto"/>
                                                    <w:bottom w:val="none" w:sz="0" w:space="0" w:color="auto"/>
                                                    <w:right w:val="none" w:sz="0" w:space="0" w:color="auto"/>
                                                  </w:divBdr>
                                                  <w:divsChild>
                                                    <w:div w:id="412362638">
                                                      <w:marLeft w:val="0"/>
                                                      <w:marRight w:val="0"/>
                                                      <w:marTop w:val="0"/>
                                                      <w:marBottom w:val="0"/>
                                                      <w:divBdr>
                                                        <w:top w:val="none" w:sz="0" w:space="0" w:color="auto"/>
                                                        <w:left w:val="none" w:sz="0" w:space="0" w:color="auto"/>
                                                        <w:bottom w:val="none" w:sz="0" w:space="0" w:color="auto"/>
                                                        <w:right w:val="none" w:sz="0" w:space="0" w:color="auto"/>
                                                      </w:divBdr>
                                                      <w:divsChild>
                                                        <w:div w:id="361056629">
                                                          <w:marLeft w:val="0"/>
                                                          <w:marRight w:val="0"/>
                                                          <w:marTop w:val="0"/>
                                                          <w:marBottom w:val="0"/>
                                                          <w:divBdr>
                                                            <w:top w:val="none" w:sz="0" w:space="0" w:color="auto"/>
                                                            <w:left w:val="none" w:sz="0" w:space="0" w:color="auto"/>
                                                            <w:bottom w:val="none" w:sz="0" w:space="0" w:color="auto"/>
                                                            <w:right w:val="none" w:sz="0" w:space="0" w:color="auto"/>
                                                          </w:divBdr>
                                                          <w:divsChild>
                                                            <w:div w:id="1269389232">
                                                              <w:marLeft w:val="0"/>
                                                              <w:marRight w:val="0"/>
                                                              <w:marTop w:val="83"/>
                                                              <w:marBottom w:val="0"/>
                                                              <w:divBdr>
                                                                <w:top w:val="none" w:sz="0" w:space="0" w:color="auto"/>
                                                                <w:left w:val="none" w:sz="0" w:space="0" w:color="auto"/>
                                                                <w:bottom w:val="none" w:sz="0" w:space="0" w:color="auto"/>
                                                                <w:right w:val="none" w:sz="0" w:space="0" w:color="auto"/>
                                                              </w:divBdr>
                                                              <w:divsChild>
                                                                <w:div w:id="759759657">
                                                                  <w:marLeft w:val="0"/>
                                                                  <w:marRight w:val="0"/>
                                                                  <w:marTop w:val="0"/>
                                                                  <w:marBottom w:val="0"/>
                                                                  <w:divBdr>
                                                                    <w:top w:val="none" w:sz="0" w:space="0" w:color="auto"/>
                                                                    <w:left w:val="none" w:sz="0" w:space="0" w:color="auto"/>
                                                                    <w:bottom w:val="none" w:sz="0" w:space="0" w:color="auto"/>
                                                                    <w:right w:val="none" w:sz="0" w:space="0" w:color="auto"/>
                                                                  </w:divBdr>
                                                                  <w:divsChild>
                                                                    <w:div w:id="727993767">
                                                                      <w:marLeft w:val="0"/>
                                                                      <w:marRight w:val="0"/>
                                                                      <w:marTop w:val="83"/>
                                                                      <w:marBottom w:val="0"/>
                                                                      <w:divBdr>
                                                                        <w:top w:val="none" w:sz="0" w:space="0" w:color="auto"/>
                                                                        <w:left w:val="none" w:sz="0" w:space="0" w:color="auto"/>
                                                                        <w:bottom w:val="none" w:sz="0" w:space="0" w:color="auto"/>
                                                                        <w:right w:val="none" w:sz="0" w:space="0" w:color="auto"/>
                                                                      </w:divBdr>
                                                                      <w:divsChild>
                                                                        <w:div w:id="1752847690">
                                                                          <w:marLeft w:val="0"/>
                                                                          <w:marRight w:val="0"/>
                                                                          <w:marTop w:val="0"/>
                                                                          <w:marBottom w:val="0"/>
                                                                          <w:divBdr>
                                                                            <w:top w:val="none" w:sz="0" w:space="0" w:color="auto"/>
                                                                            <w:left w:val="none" w:sz="0" w:space="0" w:color="auto"/>
                                                                            <w:bottom w:val="none" w:sz="0" w:space="0" w:color="auto"/>
                                                                            <w:right w:val="none" w:sz="0" w:space="0" w:color="auto"/>
                                                                          </w:divBdr>
                                                                          <w:divsChild>
                                                                            <w:div w:id="1112869521">
                                                                              <w:marLeft w:val="0"/>
                                                                              <w:marRight w:val="0"/>
                                                                              <w:marTop w:val="83"/>
                                                                              <w:marBottom w:val="0"/>
                                                                              <w:divBdr>
                                                                                <w:top w:val="none" w:sz="0" w:space="0" w:color="auto"/>
                                                                                <w:left w:val="none" w:sz="0" w:space="0" w:color="auto"/>
                                                                                <w:bottom w:val="none" w:sz="0" w:space="0" w:color="auto"/>
                                                                                <w:right w:val="none" w:sz="0" w:space="0" w:color="auto"/>
                                                                              </w:divBdr>
                                                                              <w:divsChild>
                                                                                <w:div w:id="884947667">
                                                                                  <w:marLeft w:val="0"/>
                                                                                  <w:marRight w:val="0"/>
                                                                                  <w:marTop w:val="0"/>
                                                                                  <w:marBottom w:val="0"/>
                                                                                  <w:divBdr>
                                                                                    <w:top w:val="none" w:sz="0" w:space="0" w:color="auto"/>
                                                                                    <w:left w:val="none" w:sz="0" w:space="0" w:color="auto"/>
                                                                                    <w:bottom w:val="none" w:sz="0" w:space="0" w:color="auto"/>
                                                                                    <w:right w:val="none" w:sz="0" w:space="0" w:color="auto"/>
                                                                                  </w:divBdr>
                                                                                  <w:divsChild>
                                                                                    <w:div w:id="10088276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77983">
      <w:bodyDiv w:val="1"/>
      <w:marLeft w:val="0"/>
      <w:marRight w:val="0"/>
      <w:marTop w:val="0"/>
      <w:marBottom w:val="0"/>
      <w:divBdr>
        <w:top w:val="none" w:sz="0" w:space="0" w:color="auto"/>
        <w:left w:val="none" w:sz="0" w:space="0" w:color="auto"/>
        <w:bottom w:val="none" w:sz="0" w:space="0" w:color="auto"/>
        <w:right w:val="none" w:sz="0" w:space="0" w:color="auto"/>
      </w:divBdr>
      <w:divsChild>
        <w:div w:id="1470439366">
          <w:marLeft w:val="0"/>
          <w:marRight w:val="0"/>
          <w:marTop w:val="0"/>
          <w:marBottom w:val="0"/>
          <w:divBdr>
            <w:top w:val="none" w:sz="0" w:space="0" w:color="auto"/>
            <w:left w:val="none" w:sz="0" w:space="0" w:color="auto"/>
            <w:bottom w:val="none" w:sz="0" w:space="0" w:color="auto"/>
            <w:right w:val="none" w:sz="0" w:space="0" w:color="auto"/>
          </w:divBdr>
          <w:divsChild>
            <w:div w:id="2119181884">
              <w:marLeft w:val="0"/>
              <w:marRight w:val="0"/>
              <w:marTop w:val="0"/>
              <w:marBottom w:val="0"/>
              <w:divBdr>
                <w:top w:val="none" w:sz="0" w:space="0" w:color="auto"/>
                <w:left w:val="none" w:sz="0" w:space="0" w:color="auto"/>
                <w:bottom w:val="none" w:sz="0" w:space="0" w:color="auto"/>
                <w:right w:val="none" w:sz="0" w:space="0" w:color="auto"/>
              </w:divBdr>
              <w:divsChild>
                <w:div w:id="371459286">
                  <w:marLeft w:val="0"/>
                  <w:marRight w:val="0"/>
                  <w:marTop w:val="105"/>
                  <w:marBottom w:val="0"/>
                  <w:divBdr>
                    <w:top w:val="none" w:sz="0" w:space="0" w:color="auto"/>
                    <w:left w:val="none" w:sz="0" w:space="0" w:color="auto"/>
                    <w:bottom w:val="none" w:sz="0" w:space="0" w:color="auto"/>
                    <w:right w:val="none" w:sz="0" w:space="0" w:color="auto"/>
                  </w:divBdr>
                  <w:divsChild>
                    <w:div w:id="491335964">
                      <w:marLeft w:val="450"/>
                      <w:marRight w:val="225"/>
                      <w:marTop w:val="0"/>
                      <w:marBottom w:val="0"/>
                      <w:divBdr>
                        <w:top w:val="none" w:sz="0" w:space="0" w:color="auto"/>
                        <w:left w:val="none" w:sz="0" w:space="0" w:color="auto"/>
                        <w:bottom w:val="none" w:sz="0" w:space="0" w:color="auto"/>
                        <w:right w:val="none" w:sz="0" w:space="0" w:color="auto"/>
                      </w:divBdr>
                      <w:divsChild>
                        <w:div w:id="631448492">
                          <w:marLeft w:val="0"/>
                          <w:marRight w:val="0"/>
                          <w:marTop w:val="0"/>
                          <w:marBottom w:val="600"/>
                          <w:divBdr>
                            <w:top w:val="single" w:sz="6" w:space="0" w:color="314664"/>
                            <w:left w:val="single" w:sz="6" w:space="0" w:color="314664"/>
                            <w:bottom w:val="single" w:sz="6" w:space="0" w:color="314664"/>
                            <w:right w:val="single" w:sz="6" w:space="0" w:color="314664"/>
                          </w:divBdr>
                          <w:divsChild>
                            <w:div w:id="1275093270">
                              <w:marLeft w:val="0"/>
                              <w:marRight w:val="0"/>
                              <w:marTop w:val="0"/>
                              <w:marBottom w:val="0"/>
                              <w:divBdr>
                                <w:top w:val="none" w:sz="0" w:space="0" w:color="auto"/>
                                <w:left w:val="none" w:sz="0" w:space="0" w:color="auto"/>
                                <w:bottom w:val="none" w:sz="0" w:space="0" w:color="auto"/>
                                <w:right w:val="none" w:sz="0" w:space="0" w:color="auto"/>
                              </w:divBdr>
                              <w:divsChild>
                                <w:div w:id="1074744514">
                                  <w:marLeft w:val="0"/>
                                  <w:marRight w:val="0"/>
                                  <w:marTop w:val="0"/>
                                  <w:marBottom w:val="0"/>
                                  <w:divBdr>
                                    <w:top w:val="none" w:sz="0" w:space="0" w:color="auto"/>
                                    <w:left w:val="none" w:sz="0" w:space="0" w:color="auto"/>
                                    <w:bottom w:val="none" w:sz="0" w:space="0" w:color="auto"/>
                                    <w:right w:val="none" w:sz="0" w:space="0" w:color="auto"/>
                                  </w:divBdr>
                                  <w:divsChild>
                                    <w:div w:id="220677070">
                                      <w:marLeft w:val="0"/>
                                      <w:marRight w:val="0"/>
                                      <w:marTop w:val="0"/>
                                      <w:marBottom w:val="0"/>
                                      <w:divBdr>
                                        <w:top w:val="none" w:sz="0" w:space="0" w:color="auto"/>
                                        <w:left w:val="none" w:sz="0" w:space="0" w:color="auto"/>
                                        <w:bottom w:val="none" w:sz="0" w:space="0" w:color="auto"/>
                                        <w:right w:val="none" w:sz="0" w:space="0" w:color="auto"/>
                                      </w:divBdr>
                                      <w:divsChild>
                                        <w:div w:id="439254328">
                                          <w:marLeft w:val="0"/>
                                          <w:marRight w:val="0"/>
                                          <w:marTop w:val="0"/>
                                          <w:marBottom w:val="0"/>
                                          <w:divBdr>
                                            <w:top w:val="none" w:sz="0" w:space="0" w:color="auto"/>
                                            <w:left w:val="none" w:sz="0" w:space="0" w:color="auto"/>
                                            <w:bottom w:val="none" w:sz="0" w:space="0" w:color="auto"/>
                                            <w:right w:val="none" w:sz="0" w:space="0" w:color="auto"/>
                                          </w:divBdr>
                                          <w:divsChild>
                                            <w:div w:id="1751543896">
                                              <w:marLeft w:val="0"/>
                                              <w:marRight w:val="0"/>
                                              <w:marTop w:val="0"/>
                                              <w:marBottom w:val="0"/>
                                              <w:divBdr>
                                                <w:top w:val="none" w:sz="0" w:space="0" w:color="auto"/>
                                                <w:left w:val="none" w:sz="0" w:space="0" w:color="auto"/>
                                                <w:bottom w:val="none" w:sz="0" w:space="0" w:color="auto"/>
                                                <w:right w:val="none" w:sz="0" w:space="0" w:color="auto"/>
                                              </w:divBdr>
                                              <w:divsChild>
                                                <w:div w:id="1967617822">
                                                  <w:marLeft w:val="0"/>
                                                  <w:marRight w:val="0"/>
                                                  <w:marTop w:val="0"/>
                                                  <w:marBottom w:val="0"/>
                                                  <w:divBdr>
                                                    <w:top w:val="none" w:sz="0" w:space="0" w:color="auto"/>
                                                    <w:left w:val="none" w:sz="0" w:space="0" w:color="auto"/>
                                                    <w:bottom w:val="none" w:sz="0" w:space="0" w:color="auto"/>
                                                    <w:right w:val="none" w:sz="0" w:space="0" w:color="auto"/>
                                                  </w:divBdr>
                                                  <w:divsChild>
                                                    <w:div w:id="2030715601">
                                                      <w:marLeft w:val="0"/>
                                                      <w:marRight w:val="0"/>
                                                      <w:marTop w:val="0"/>
                                                      <w:marBottom w:val="0"/>
                                                      <w:divBdr>
                                                        <w:top w:val="none" w:sz="0" w:space="0" w:color="auto"/>
                                                        <w:left w:val="none" w:sz="0" w:space="0" w:color="auto"/>
                                                        <w:bottom w:val="none" w:sz="0" w:space="0" w:color="auto"/>
                                                        <w:right w:val="none" w:sz="0" w:space="0" w:color="auto"/>
                                                      </w:divBdr>
                                                      <w:divsChild>
                                                        <w:div w:id="1752390589">
                                                          <w:marLeft w:val="0"/>
                                                          <w:marRight w:val="0"/>
                                                          <w:marTop w:val="0"/>
                                                          <w:marBottom w:val="0"/>
                                                          <w:divBdr>
                                                            <w:top w:val="none" w:sz="0" w:space="0" w:color="auto"/>
                                                            <w:left w:val="none" w:sz="0" w:space="0" w:color="auto"/>
                                                            <w:bottom w:val="none" w:sz="0" w:space="0" w:color="auto"/>
                                                            <w:right w:val="none" w:sz="0" w:space="0" w:color="auto"/>
                                                          </w:divBdr>
                                                          <w:divsChild>
                                                            <w:div w:id="204950416">
                                                              <w:marLeft w:val="0"/>
                                                              <w:marRight w:val="0"/>
                                                              <w:marTop w:val="0"/>
                                                              <w:marBottom w:val="0"/>
                                                              <w:divBdr>
                                                                <w:top w:val="none" w:sz="0" w:space="0" w:color="auto"/>
                                                                <w:left w:val="none" w:sz="0" w:space="0" w:color="auto"/>
                                                                <w:bottom w:val="none" w:sz="0" w:space="0" w:color="auto"/>
                                                                <w:right w:val="none" w:sz="0" w:space="0" w:color="auto"/>
                                                              </w:divBdr>
                                                              <w:divsChild>
                                                                <w:div w:id="926301819">
                                                                  <w:marLeft w:val="0"/>
                                                                  <w:marRight w:val="0"/>
                                                                  <w:marTop w:val="83"/>
                                                                  <w:marBottom w:val="0"/>
                                                                  <w:divBdr>
                                                                    <w:top w:val="none" w:sz="0" w:space="0" w:color="auto"/>
                                                                    <w:left w:val="none" w:sz="0" w:space="0" w:color="auto"/>
                                                                    <w:bottom w:val="none" w:sz="0" w:space="0" w:color="auto"/>
                                                                    <w:right w:val="none" w:sz="0" w:space="0" w:color="auto"/>
                                                                  </w:divBdr>
                                                                  <w:divsChild>
                                                                    <w:div w:id="1358848059">
                                                                      <w:marLeft w:val="0"/>
                                                                      <w:marRight w:val="0"/>
                                                                      <w:marTop w:val="0"/>
                                                                      <w:marBottom w:val="0"/>
                                                                      <w:divBdr>
                                                                        <w:top w:val="none" w:sz="0" w:space="0" w:color="auto"/>
                                                                        <w:left w:val="none" w:sz="0" w:space="0" w:color="auto"/>
                                                                        <w:bottom w:val="none" w:sz="0" w:space="0" w:color="auto"/>
                                                                        <w:right w:val="none" w:sz="0" w:space="0" w:color="auto"/>
                                                                      </w:divBdr>
                                                                      <w:divsChild>
                                                                        <w:div w:id="1704482147">
                                                                          <w:marLeft w:val="0"/>
                                                                          <w:marRight w:val="0"/>
                                                                          <w:marTop w:val="83"/>
                                                                          <w:marBottom w:val="0"/>
                                                                          <w:divBdr>
                                                                            <w:top w:val="none" w:sz="0" w:space="0" w:color="auto"/>
                                                                            <w:left w:val="none" w:sz="0" w:space="0" w:color="auto"/>
                                                                            <w:bottom w:val="none" w:sz="0" w:space="0" w:color="auto"/>
                                                                            <w:right w:val="none" w:sz="0" w:space="0" w:color="auto"/>
                                                                          </w:divBdr>
                                                                        </w:div>
                                                                      </w:divsChild>
                                                                    </w:div>
                                                                    <w:div w:id="1101292436">
                                                                      <w:marLeft w:val="0"/>
                                                                      <w:marRight w:val="0"/>
                                                                      <w:marTop w:val="0"/>
                                                                      <w:marBottom w:val="0"/>
                                                                      <w:divBdr>
                                                                        <w:top w:val="none" w:sz="0" w:space="0" w:color="auto"/>
                                                                        <w:left w:val="none" w:sz="0" w:space="0" w:color="auto"/>
                                                                        <w:bottom w:val="none" w:sz="0" w:space="0" w:color="auto"/>
                                                                        <w:right w:val="none" w:sz="0" w:space="0" w:color="auto"/>
                                                                      </w:divBdr>
                                                                      <w:divsChild>
                                                                        <w:div w:id="1569265764">
                                                                          <w:marLeft w:val="0"/>
                                                                          <w:marRight w:val="0"/>
                                                                          <w:marTop w:val="83"/>
                                                                          <w:marBottom w:val="0"/>
                                                                          <w:divBdr>
                                                                            <w:top w:val="none" w:sz="0" w:space="0" w:color="auto"/>
                                                                            <w:left w:val="none" w:sz="0" w:space="0" w:color="auto"/>
                                                                            <w:bottom w:val="none" w:sz="0" w:space="0" w:color="auto"/>
                                                                            <w:right w:val="none" w:sz="0" w:space="0" w:color="auto"/>
                                                                          </w:divBdr>
                                                                        </w:div>
                                                                      </w:divsChild>
                                                                    </w:div>
                                                                    <w:div w:id="797801249">
                                                                      <w:marLeft w:val="0"/>
                                                                      <w:marRight w:val="0"/>
                                                                      <w:marTop w:val="0"/>
                                                                      <w:marBottom w:val="0"/>
                                                                      <w:divBdr>
                                                                        <w:top w:val="none" w:sz="0" w:space="0" w:color="auto"/>
                                                                        <w:left w:val="none" w:sz="0" w:space="0" w:color="auto"/>
                                                                        <w:bottom w:val="none" w:sz="0" w:space="0" w:color="auto"/>
                                                                        <w:right w:val="none" w:sz="0" w:space="0" w:color="auto"/>
                                                                      </w:divBdr>
                                                                      <w:divsChild>
                                                                        <w:div w:id="1383290967">
                                                                          <w:marLeft w:val="0"/>
                                                                          <w:marRight w:val="0"/>
                                                                          <w:marTop w:val="83"/>
                                                                          <w:marBottom w:val="0"/>
                                                                          <w:divBdr>
                                                                            <w:top w:val="none" w:sz="0" w:space="0" w:color="auto"/>
                                                                            <w:left w:val="none" w:sz="0" w:space="0" w:color="auto"/>
                                                                            <w:bottom w:val="none" w:sz="0" w:space="0" w:color="auto"/>
                                                                            <w:right w:val="none" w:sz="0" w:space="0" w:color="auto"/>
                                                                          </w:divBdr>
                                                                        </w:div>
                                                                      </w:divsChild>
                                                                    </w:div>
                                                                    <w:div w:id="461077381">
                                                                      <w:marLeft w:val="0"/>
                                                                      <w:marRight w:val="0"/>
                                                                      <w:marTop w:val="0"/>
                                                                      <w:marBottom w:val="0"/>
                                                                      <w:divBdr>
                                                                        <w:top w:val="none" w:sz="0" w:space="0" w:color="auto"/>
                                                                        <w:left w:val="none" w:sz="0" w:space="0" w:color="auto"/>
                                                                        <w:bottom w:val="none" w:sz="0" w:space="0" w:color="auto"/>
                                                                        <w:right w:val="none" w:sz="0" w:space="0" w:color="auto"/>
                                                                      </w:divBdr>
                                                                      <w:divsChild>
                                                                        <w:div w:id="1087963724">
                                                                          <w:marLeft w:val="0"/>
                                                                          <w:marRight w:val="0"/>
                                                                          <w:marTop w:val="83"/>
                                                                          <w:marBottom w:val="0"/>
                                                                          <w:divBdr>
                                                                            <w:top w:val="none" w:sz="0" w:space="0" w:color="auto"/>
                                                                            <w:left w:val="none" w:sz="0" w:space="0" w:color="auto"/>
                                                                            <w:bottom w:val="none" w:sz="0" w:space="0" w:color="auto"/>
                                                                            <w:right w:val="none" w:sz="0" w:space="0" w:color="auto"/>
                                                                          </w:divBdr>
                                                                        </w:div>
                                                                      </w:divsChild>
                                                                    </w:div>
                                                                    <w:div w:id="372191553">
                                                                      <w:marLeft w:val="0"/>
                                                                      <w:marRight w:val="0"/>
                                                                      <w:marTop w:val="0"/>
                                                                      <w:marBottom w:val="0"/>
                                                                      <w:divBdr>
                                                                        <w:top w:val="none" w:sz="0" w:space="0" w:color="auto"/>
                                                                        <w:left w:val="none" w:sz="0" w:space="0" w:color="auto"/>
                                                                        <w:bottom w:val="none" w:sz="0" w:space="0" w:color="auto"/>
                                                                        <w:right w:val="none" w:sz="0" w:space="0" w:color="auto"/>
                                                                      </w:divBdr>
                                                                      <w:divsChild>
                                                                        <w:div w:id="1497722078">
                                                                          <w:marLeft w:val="0"/>
                                                                          <w:marRight w:val="0"/>
                                                                          <w:marTop w:val="83"/>
                                                                          <w:marBottom w:val="0"/>
                                                                          <w:divBdr>
                                                                            <w:top w:val="none" w:sz="0" w:space="0" w:color="auto"/>
                                                                            <w:left w:val="none" w:sz="0" w:space="0" w:color="auto"/>
                                                                            <w:bottom w:val="none" w:sz="0" w:space="0" w:color="auto"/>
                                                                            <w:right w:val="none" w:sz="0" w:space="0" w:color="auto"/>
                                                                          </w:divBdr>
                                                                        </w:div>
                                                                      </w:divsChild>
                                                                    </w:div>
                                                                    <w:div w:id="85539263">
                                                                      <w:marLeft w:val="0"/>
                                                                      <w:marRight w:val="0"/>
                                                                      <w:marTop w:val="0"/>
                                                                      <w:marBottom w:val="0"/>
                                                                      <w:divBdr>
                                                                        <w:top w:val="none" w:sz="0" w:space="0" w:color="auto"/>
                                                                        <w:left w:val="none" w:sz="0" w:space="0" w:color="auto"/>
                                                                        <w:bottom w:val="none" w:sz="0" w:space="0" w:color="auto"/>
                                                                        <w:right w:val="none" w:sz="0" w:space="0" w:color="auto"/>
                                                                      </w:divBdr>
                                                                      <w:divsChild>
                                                                        <w:div w:id="794760444">
                                                                          <w:marLeft w:val="0"/>
                                                                          <w:marRight w:val="0"/>
                                                                          <w:marTop w:val="83"/>
                                                                          <w:marBottom w:val="0"/>
                                                                          <w:divBdr>
                                                                            <w:top w:val="none" w:sz="0" w:space="0" w:color="auto"/>
                                                                            <w:left w:val="none" w:sz="0" w:space="0" w:color="auto"/>
                                                                            <w:bottom w:val="none" w:sz="0" w:space="0" w:color="auto"/>
                                                                            <w:right w:val="none" w:sz="0" w:space="0" w:color="auto"/>
                                                                          </w:divBdr>
                                                                        </w:div>
                                                                      </w:divsChild>
                                                                    </w:div>
                                                                    <w:div w:id="39090986">
                                                                      <w:marLeft w:val="0"/>
                                                                      <w:marRight w:val="0"/>
                                                                      <w:marTop w:val="0"/>
                                                                      <w:marBottom w:val="0"/>
                                                                      <w:divBdr>
                                                                        <w:top w:val="none" w:sz="0" w:space="0" w:color="auto"/>
                                                                        <w:left w:val="none" w:sz="0" w:space="0" w:color="auto"/>
                                                                        <w:bottom w:val="none" w:sz="0" w:space="0" w:color="auto"/>
                                                                        <w:right w:val="none" w:sz="0" w:space="0" w:color="auto"/>
                                                                      </w:divBdr>
                                                                      <w:divsChild>
                                                                        <w:div w:id="18998532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budsman.parliament.nz/resources/request-information-about-operation-burnham" TargetMode="External"/><Relationship Id="rId18" Type="http://schemas.openxmlformats.org/officeDocument/2006/relationships/hyperlink" Target="https://www.ombudsman.parliament.nz/resources/substantial-collation-or-research-guide-section-18f-oia-and-section-17f-lgoima" TargetMode="External"/><Relationship Id="rId26" Type="http://schemas.openxmlformats.org/officeDocument/2006/relationships/hyperlink" Target="http://www.legislation.govt.nz/act/public/1982/0156/latest/DLM65371.html" TargetMode="External"/><Relationship Id="rId39" Type="http://schemas.openxmlformats.org/officeDocument/2006/relationships/hyperlink" Target="https://www.ombudsman.parliament.nz/resources/public-interest-guide-public-interest-test" TargetMode="External"/><Relationship Id="rId21" Type="http://schemas.openxmlformats.org/officeDocument/2006/relationships/hyperlink" Target="http://www.legislation.govt.nz/act/public/1982/0156/latest/DLM65366.html" TargetMode="External"/><Relationship Id="rId34" Type="http://schemas.openxmlformats.org/officeDocument/2006/relationships/hyperlink" Target="https://www.ombudsman.parliament.nz/resources/privacy-guide-section-92a-oia-and-section-72a-lgoima" TargetMode="External"/><Relationship Id="rId42" Type="http://schemas.openxmlformats.org/officeDocument/2006/relationships/hyperlink" Target="https://dpmc.govt.nz/our-business-units/cabinet-office/supporting-work-cabinet/cabinet-manual" TargetMode="External"/><Relationship Id="rId47" Type="http://schemas.openxmlformats.org/officeDocument/2006/relationships/hyperlink" Target="https://www.ombudsman.parliament.nz/resources/confidentiality-guide-section-92ba-oia-and-section-72c-lgoima" TargetMode="External"/><Relationship Id="rId50" Type="http://schemas.openxmlformats.org/officeDocument/2006/relationships/hyperlink" Target="https://www.ombudsman.parliament.nz/resources/publicly-available-information-guide-section-18d-oia-and-section-17d-lgoima" TargetMode="External"/><Relationship Id="rId55" Type="http://schemas.openxmlformats.org/officeDocument/2006/relationships/header" Target="header1.xml"/><Relationship Id="rId7" Type="http://schemas.openxmlformats.org/officeDocument/2006/relationships/hyperlink" Target="https://lawcom.govt.nz/sites/default/files/projectAvailableFormats/NZLC%20R102.pdf" TargetMode="External"/><Relationship Id="rId2" Type="http://schemas.openxmlformats.org/officeDocument/2006/relationships/styles" Target="styles.xml"/><Relationship Id="rId16" Type="http://schemas.openxmlformats.org/officeDocument/2006/relationships/hyperlink" Target="https://www.ombudsman.parliament.nz/resources/request-information-about-operation-burnham" TargetMode="External"/><Relationship Id="rId20" Type="http://schemas.openxmlformats.org/officeDocument/2006/relationships/hyperlink" Target="http://www.legislation.govt.nz/act/public/1982/0156/latest/DLM65366.html" TargetMode="External"/><Relationship Id="rId29" Type="http://schemas.openxmlformats.org/officeDocument/2006/relationships/hyperlink" Target="https://www.ombudsman.parliament.nz/resources/legal-professional-privilege-guide-section-92h-oia-and-section-72g-lgoima" TargetMode="External"/><Relationship Id="rId41" Type="http://schemas.openxmlformats.org/officeDocument/2006/relationships/hyperlink" Target="https://www.dia.govt.nz/Public-and-Government-Inquiries" TargetMode="External"/><Relationship Id="rId54" Type="http://schemas.openxmlformats.org/officeDocument/2006/relationships/hyperlink" Target="https://www.ombudsman.parliament.nz/resources/request-information-about-pike-river-min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parliament.nz/resources/consulting-third-parties" TargetMode="External"/><Relationship Id="rId24" Type="http://schemas.openxmlformats.org/officeDocument/2006/relationships/hyperlink" Target="http://www.legislation.govt.nz/act/public/1982/0156/latest/DLM65371.html" TargetMode="External"/><Relationship Id="rId32" Type="http://schemas.openxmlformats.org/officeDocument/2006/relationships/hyperlink" Target="https://www.ombudsman.parliament.nz/resources/information-not-held-guide-sections-18e-and-g-oia-and-sections-17e-and-g-lgoima" TargetMode="External"/><Relationship Id="rId37" Type="http://schemas.openxmlformats.org/officeDocument/2006/relationships/hyperlink" Target="https://www.ombudsman.parliament.nz/resources/publicly-available-information-guide-section-18d-oia-and-section-17d-lgoima" TargetMode="External"/><Relationship Id="rId40" Type="http://schemas.openxmlformats.org/officeDocument/2006/relationships/hyperlink" Target="mailto:info@ombudsman.parliament.nz" TargetMode="External"/><Relationship Id="rId45" Type="http://schemas.openxmlformats.org/officeDocument/2006/relationships/hyperlink" Target="https://www.ombudsman.parliament.nz/resources/consulting-third-parties" TargetMode="External"/><Relationship Id="rId53" Type="http://schemas.openxmlformats.org/officeDocument/2006/relationships/hyperlink" Target="https://www.ombudsman.parliament.nz/resources/request-information-about-operation-spring-creek-coal-mine"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mbudsman.parliament.nz/resources/request-information-about-pike-river-mine" TargetMode="External"/><Relationship Id="rId23" Type="http://schemas.openxmlformats.org/officeDocument/2006/relationships/hyperlink" Target="https://www.ombudsman.parliament.nz/resources/privacy-guide-section-92a-oia-and-section-72a-lgoima" TargetMode="External"/><Relationship Id="rId28" Type="http://schemas.openxmlformats.org/officeDocument/2006/relationships/hyperlink" Target="http://www.legislation.govt.nz/act/public/1982/0156/latest/DLM65371.html" TargetMode="External"/><Relationship Id="rId36" Type="http://schemas.openxmlformats.org/officeDocument/2006/relationships/hyperlink" Target="https://www.ombudsman.parliament.nz/resources/legal-professional-privilege-guide-section-92h-oia-and-section-72g-lgoima" TargetMode="External"/><Relationship Id="rId49" Type="http://schemas.openxmlformats.org/officeDocument/2006/relationships/hyperlink" Target="https://www.ombudsman.parliament.nz/resources/legal-professional-privilege-guide-section-92h-oia-and-section-72g-lgoima"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info@ombudsman.parliament.nz" TargetMode="External"/><Relationship Id="rId19" Type="http://schemas.openxmlformats.org/officeDocument/2006/relationships/hyperlink" Target="https://www.ombudsman.parliament.nz/resources/request-information-about-operation-burnham" TargetMode="External"/><Relationship Id="rId31" Type="http://schemas.openxmlformats.org/officeDocument/2006/relationships/hyperlink" Target="https://www.ombudsman.parliament.nz/resources/publicly-available-information-guide-section-18d-oia-and-section-17d-lgoima" TargetMode="External"/><Relationship Id="rId44" Type="http://schemas.openxmlformats.org/officeDocument/2006/relationships/hyperlink" Target="https://www.ombudsman.parliament.nz/resources/information-not-held-guide-sections-18e-and-g-oia-and-sections-17e-and-g-lgoima" TargetMode="External"/><Relationship Id="rId52" Type="http://schemas.openxmlformats.org/officeDocument/2006/relationships/hyperlink" Target="https://www.ombudsman.parliament.nz/resources/request-information-about-operation-burnham"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mbudsman.parliament.nz/resources/request-correspondence-between-agencies-and-operation-burnham-inquiry" TargetMode="External"/><Relationship Id="rId14" Type="http://schemas.openxmlformats.org/officeDocument/2006/relationships/hyperlink" Target="https://www.ombudsman.parliament.nz/resources/request-information-about-operation-spring-creek-coal-mine" TargetMode="External"/><Relationship Id="rId22" Type="http://schemas.openxmlformats.org/officeDocument/2006/relationships/hyperlink" Target="http://www.legislation.govt.nz/act/public/1982/0156/latest/DLM65371.html" TargetMode="External"/><Relationship Id="rId27" Type="http://schemas.openxmlformats.org/officeDocument/2006/relationships/hyperlink" Target="https://www.ombudsman.parliament.nz/resources/free-and-frank-opinions-guide-section-92gi-oia-and-section-72fi-lgoima" TargetMode="External"/><Relationship Id="rId30" Type="http://schemas.openxmlformats.org/officeDocument/2006/relationships/hyperlink" Target="http://www.legislation.govt.nz/act/public/1982/0156/latest/DLM65600.html" TargetMode="External"/><Relationship Id="rId35" Type="http://schemas.openxmlformats.org/officeDocument/2006/relationships/hyperlink" Target="https://www.ombudsman.parliament.nz/resources/confidentiality-guide-section-92ba-oia-and-section-72c-lgoima" TargetMode="External"/><Relationship Id="rId43" Type="http://schemas.openxmlformats.org/officeDocument/2006/relationships/hyperlink" Target="http://www.archives.govt.nz" TargetMode="External"/><Relationship Id="rId48" Type="http://schemas.openxmlformats.org/officeDocument/2006/relationships/hyperlink" Target="https://www.ombudsman.parliament.nz/resources/free-and-frank-opinions-guide-section-92gi-oia-and-section-72fi-lgoima" TargetMode="External"/><Relationship Id="rId56" Type="http://schemas.openxmlformats.org/officeDocument/2006/relationships/header" Target="header2.xml"/><Relationship Id="rId8" Type="http://schemas.openxmlformats.org/officeDocument/2006/relationships/hyperlink" Target="http://www.archives.govt.nz" TargetMode="External"/><Relationship Id="rId51" Type="http://schemas.openxmlformats.org/officeDocument/2006/relationships/hyperlink" Target="https://www.ombudsman.parliament.nz/resources/information-not-held-guide-sections-18e-and-g-oia-and-sections-17e-and-g-lgoima" TargetMode="External"/><Relationship Id="rId3" Type="http://schemas.openxmlformats.org/officeDocument/2006/relationships/settings" Target="settings.xml"/><Relationship Id="rId12" Type="http://schemas.openxmlformats.org/officeDocument/2006/relationships/hyperlink" Target="https://www.ombudsman.parliament.nz/resources/request-information-about-pike-river-mine" TargetMode="External"/><Relationship Id="rId17" Type="http://schemas.openxmlformats.org/officeDocument/2006/relationships/hyperlink" Target="https://www.ombudsman.parliament.nz/resources/request-information-about-operation-burnham" TargetMode="External"/><Relationship Id="rId25" Type="http://schemas.openxmlformats.org/officeDocument/2006/relationships/hyperlink" Target="https://www.ombudsman.parliament.nz/resources/confidentiality-guide-section-92ba-oia-and-section-72c-lgoima" TargetMode="External"/><Relationship Id="rId33" Type="http://schemas.openxmlformats.org/officeDocument/2006/relationships/hyperlink" Target="https://www.ombudsman.parliament.nz/resources/public-interest-guide-public-interest-test" TargetMode="External"/><Relationship Id="rId38" Type="http://schemas.openxmlformats.org/officeDocument/2006/relationships/hyperlink" Target="https://www.ombudsman.parliament.nz/resources/information-not-held-guide-sections-18e-and-g-oia-and-sections-17e-and-g-lgoima" TargetMode="External"/><Relationship Id="rId46" Type="http://schemas.openxmlformats.org/officeDocument/2006/relationships/hyperlink" Target="https://www.ombudsman.parliament.nz/resources/privacy-guide-section-92a-oia-and-section-72a-lgoima"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t.nz/act/public/2013/0060/48.0/DLM1566143.html" TargetMode="External"/><Relationship Id="rId13" Type="http://schemas.openxmlformats.org/officeDocument/2006/relationships/hyperlink" Target="http://www.legislation.govt.nz/act/public/2013/0060/48.0/DLM1566174.html" TargetMode="External"/><Relationship Id="rId18" Type="http://schemas.openxmlformats.org/officeDocument/2006/relationships/hyperlink" Target="http://www.legislation.govt.nz/act/public/1982/0156/latest/DLM64790.html?search=ts_act%40bill%40regulation%40deemedreg_official+information+act_resel_25_a&amp;p=1" TargetMode="External"/><Relationship Id="rId26" Type="http://schemas.openxmlformats.org/officeDocument/2006/relationships/hyperlink" Target="http://www.legislation.govt.nz/act/public/2005/0040/latest/DLM345772.html" TargetMode="External"/><Relationship Id="rId39" Type="http://schemas.openxmlformats.org/officeDocument/2006/relationships/hyperlink" Target="https://lawcom.govt.nz/sites/default/files/projectAvailableFormats/NZLC%20R102.pdf" TargetMode="External"/><Relationship Id="rId3" Type="http://schemas.openxmlformats.org/officeDocument/2006/relationships/hyperlink" Target="http://www.legislation.govt.nz/act/public/2013/0060/48.0/DLM1566145.html" TargetMode="External"/><Relationship Id="rId21" Type="http://schemas.openxmlformats.org/officeDocument/2006/relationships/hyperlink" Target="http://www.legislation.govt.nz/act/public/1982/0156/latest/DLM65387.html?search=ts_act%40bill%40regulation%40deemedreg_official+information+act_resel_25_a&amp;p=1" TargetMode="External"/><Relationship Id="rId34" Type="http://schemas.openxmlformats.org/officeDocument/2006/relationships/hyperlink" Target="http://www.legislation.govt.nz/act/public/2013/0060/48.0/DLM1566150.html" TargetMode="External"/><Relationship Id="rId7" Type="http://schemas.openxmlformats.org/officeDocument/2006/relationships/hyperlink" Target="http://www.legislation.govt.nz/act/public/2013/0060/48.0/DLM1566112.html" TargetMode="External"/><Relationship Id="rId12" Type="http://schemas.openxmlformats.org/officeDocument/2006/relationships/hyperlink" Target="http://www.legislation.govt.nz/act/public/2013/0060/48.0/DLM1566150.html" TargetMode="External"/><Relationship Id="rId17" Type="http://schemas.openxmlformats.org/officeDocument/2006/relationships/hyperlink" Target="http://www.legislation.govt.nz/act/public/1988/0020/latest/LMS117977.html" TargetMode="External"/><Relationship Id="rId25" Type="http://schemas.openxmlformats.org/officeDocument/2006/relationships/hyperlink" Target="https://www.ombudsman.parliament.nz/resources/publicly-available-information-guide-section-18d-oia-and-section-17d-lgoima" TargetMode="External"/><Relationship Id="rId33" Type="http://schemas.openxmlformats.org/officeDocument/2006/relationships/hyperlink" Target="https://www.ombudsman.parliament.nz/resources/request-information-about-operation-burnham" TargetMode="External"/><Relationship Id="rId38" Type="http://schemas.openxmlformats.org/officeDocument/2006/relationships/hyperlink" Target="http://www.legislation.govt.nz/act/public/2013/0060/48.0/DLM1566177.html" TargetMode="External"/><Relationship Id="rId2" Type="http://schemas.openxmlformats.org/officeDocument/2006/relationships/hyperlink" Target="http://www.legislation.govt.nz/act/public/2013/0060/48.0/DLM1566136.html" TargetMode="External"/><Relationship Id="rId16" Type="http://schemas.openxmlformats.org/officeDocument/2006/relationships/hyperlink" Target="http://www.legislation.govt.nz/act/public/1988/0020/latest/LMS117928.html" TargetMode="External"/><Relationship Id="rId20" Type="http://schemas.openxmlformats.org/officeDocument/2006/relationships/hyperlink" Target="http://www.legislation.govt.nz/act/public/2013/0060/48.0/DLM2555201.html" TargetMode="External"/><Relationship Id="rId29" Type="http://schemas.openxmlformats.org/officeDocument/2006/relationships/hyperlink" Target="http://www.legislation.govt.nz/act/public/1982/0156/latest/DLM64790.html?search=ts_act%40bill%40regulation%40deemedreg_official+information+act_resel_25_a&amp;p=1" TargetMode="External"/><Relationship Id="rId1" Type="http://schemas.openxmlformats.org/officeDocument/2006/relationships/hyperlink" Target="http://www.legislation.govt.nz/act/public/2013/0060/48.0/DLM1566136.html" TargetMode="External"/><Relationship Id="rId6" Type="http://schemas.openxmlformats.org/officeDocument/2006/relationships/hyperlink" Target="http://www.legislation.govt.nz/act/public/2013/0060/48.0/DLM1566145.html" TargetMode="External"/><Relationship Id="rId11" Type="http://schemas.openxmlformats.org/officeDocument/2006/relationships/hyperlink" Target="http://www.legislation.govt.nz/act/public/2013/0060/48.0/DLM1566150.html" TargetMode="External"/><Relationship Id="rId24" Type="http://schemas.openxmlformats.org/officeDocument/2006/relationships/hyperlink" Target="http://www.legislation.govt.nz/act/public/2005/0040/latest/DLM345777.html" TargetMode="External"/><Relationship Id="rId32" Type="http://schemas.openxmlformats.org/officeDocument/2006/relationships/hyperlink" Target="http://www.legislation.govt.nz/act/public/1999/0085/latest/DLM31471.html" TargetMode="External"/><Relationship Id="rId37" Type="http://schemas.openxmlformats.org/officeDocument/2006/relationships/hyperlink" Target="http://www.legislation.govt.nz/act/public/2013/0060/48.0/DLM1566174.html" TargetMode="External"/><Relationship Id="rId5" Type="http://schemas.openxmlformats.org/officeDocument/2006/relationships/hyperlink" Target="http://www.legislation.govt.nz/act/public/2013/0060/48.0/DLM1566136.html" TargetMode="External"/><Relationship Id="rId15" Type="http://schemas.openxmlformats.org/officeDocument/2006/relationships/hyperlink" Target="http://www.legislation.govt.nz/act/public/1999/0085/latest/DLM31471.html" TargetMode="External"/><Relationship Id="rId23" Type="http://schemas.openxmlformats.org/officeDocument/2006/relationships/hyperlink" Target="http://www.legislation.govt.nz/act/public/2013/0060/48.0/DLM2555201.html" TargetMode="External"/><Relationship Id="rId28" Type="http://schemas.openxmlformats.org/officeDocument/2006/relationships/hyperlink" Target="http://www.legislation.govt.nz/act/public/1982/0156/latest/DLM65387.html?search=ts_act%40bill%40regulation%40deemedreg_official+information+act_resel_25_a&amp;p=1" TargetMode="External"/><Relationship Id="rId36" Type="http://schemas.openxmlformats.org/officeDocument/2006/relationships/hyperlink" Target="http://www.legislation.govt.nz/act/public/2013/0060/48.0/DLM1566162.html" TargetMode="External"/><Relationship Id="rId10" Type="http://schemas.openxmlformats.org/officeDocument/2006/relationships/hyperlink" Target="http://www.legislation.govt.nz/act/public/2013/0060/48.0/DLM1566149.html" TargetMode="External"/><Relationship Id="rId19" Type="http://schemas.openxmlformats.org/officeDocument/2006/relationships/hyperlink" Target="http://www.legislation.govt.nz/act/public/2013/0060/48.0/DLM1566180.html" TargetMode="External"/><Relationship Id="rId31" Type="http://schemas.openxmlformats.org/officeDocument/2006/relationships/hyperlink" Target="https://christchurchattack.royalcommission.nz/updates/" TargetMode="External"/><Relationship Id="rId4" Type="http://schemas.openxmlformats.org/officeDocument/2006/relationships/hyperlink" Target="http://www.legislation.govt.nz/act/public/2013/0060/48.0/DLM1566145.html" TargetMode="External"/><Relationship Id="rId9" Type="http://schemas.openxmlformats.org/officeDocument/2006/relationships/hyperlink" Target="http://www.legislation.govt.nz/act/public/2013/0060/48.0/DLM1566149.html" TargetMode="External"/><Relationship Id="rId14" Type="http://schemas.openxmlformats.org/officeDocument/2006/relationships/hyperlink" Target="http://www.legislation.govt.nz/act/public/2013/0060/48.0/DLM1566162.html" TargetMode="External"/><Relationship Id="rId22" Type="http://schemas.openxmlformats.org/officeDocument/2006/relationships/hyperlink" Target="http://www.legislation.govt.nz/act/public/2005/0040/latest/DLM345771.html" TargetMode="External"/><Relationship Id="rId27" Type="http://schemas.openxmlformats.org/officeDocument/2006/relationships/hyperlink" Target="http://www.legislation.govt.nz/act/public/2005/0040/latest/DLM345772.html" TargetMode="External"/><Relationship Id="rId30" Type="http://schemas.openxmlformats.org/officeDocument/2006/relationships/hyperlink" Target="http://www.legislation.govt.nz/act/public/2013/0060/48.0/DLM1566150.html" TargetMode="External"/><Relationship Id="rId35" Type="http://schemas.openxmlformats.org/officeDocument/2006/relationships/hyperlink" Target="http://www.legislation.govt.nz/act/public/2013/0060/48.0/DLM1566150.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7055</Words>
  <Characters>40217</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Introduction</vt:lpstr>
      <vt:lpstr>Background to the Inquiries Act</vt:lpstr>
      <vt:lpstr>Key provisions of the Inquiries Act </vt:lpstr>
      <vt:lpstr>    Inquiries under the State Sector Act</vt:lpstr>
      <vt:lpstr>Information held by inquiries</vt:lpstr>
      <vt:lpstr>    Before the records are transferred to Archives </vt:lpstr>
      <vt:lpstr>    After the records are transferred to Archives </vt:lpstr>
      <vt:lpstr>Information held by other government agencies</vt:lpstr>
      <vt:lpstr>    The effect of section 32 of the Inquiries Act </vt:lpstr>
      <vt:lpstr>Information excluded from the OIA</vt:lpstr>
      <vt:lpstr>    Paragraph (ha)</vt:lpstr>
      <vt:lpstr>    Non-publication orders </vt:lpstr>
      <vt:lpstr>    Guidance for inquiries making non-publication orders</vt:lpstr>
      <vt:lpstr>Reasons for refusal</vt:lpstr>
      <vt:lpstr>    Maintenance of the law—section 6(c)</vt:lpstr>
      <vt:lpstr>        Can section 6(c) apply to inquiries?</vt:lpstr>
      <vt:lpstr>        When does section 6(c) apply?</vt:lpstr>
      <vt:lpstr>        Factors to consider</vt:lpstr>
      <vt:lpstr>    Release would be contrary to the Inquiries Act—s 18(c)(i)</vt:lpstr>
      <vt:lpstr>    Other refusal grounds</vt:lpstr>
      <vt:lpstr>        Public interest test</vt:lpstr>
      <vt:lpstr>Further information </vt:lpstr>
      <vt:lpstr>Summary—the OIA and inquiries </vt:lpstr>
      <vt:lpstr>Relevant case notes and opinions </vt:lpstr>
    </vt:vector>
  </TitlesOfParts>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2021-11-16T22:03:00Z</dcterms:created>
  <dcterms:modified xsi:type="dcterms:W3CDTF">2021-11-17T00:40:00Z</dcterms:modified>
  <cp:contentStatus/>
</cp:coreProperties>
</file>