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D9" w:rsidRPr="00802FD9" w:rsidRDefault="00802FD9" w:rsidP="00802FD9">
      <w:pPr>
        <w:ind w:right="-57"/>
        <w:jc w:val="both"/>
        <w:rPr>
          <w:rFonts w:ascii="Arial" w:hAnsi="Arial" w:cs="Arial"/>
          <w:b/>
          <w:smallCaps/>
          <w:snapToGrid w:val="0"/>
          <w:sz w:val="23"/>
          <w:szCs w:val="23"/>
          <w:lang w:eastAsia="en-US"/>
        </w:rPr>
      </w:pPr>
      <w:bookmarkStart w:id="0" w:name="_GoBack"/>
      <w:bookmarkEnd w:id="0"/>
    </w:p>
    <w:p w:rsidR="00802FD9" w:rsidRPr="00802FD9" w:rsidRDefault="00802FD9" w:rsidP="00802FD9">
      <w:pPr>
        <w:ind w:right="-57"/>
        <w:jc w:val="both"/>
        <w:rPr>
          <w:rFonts w:ascii="Arial" w:hAnsi="Arial" w:cs="Arial"/>
          <w:b/>
          <w:smallCaps/>
          <w:snapToGrid w:val="0"/>
          <w:sz w:val="23"/>
          <w:szCs w:val="23"/>
          <w:lang w:eastAsia="en-US"/>
        </w:rPr>
      </w:pPr>
    </w:p>
    <w:p w:rsidR="00802FD9" w:rsidRPr="00802FD9" w:rsidRDefault="0080481A" w:rsidP="00802FD9">
      <w:pPr>
        <w:ind w:right="-57"/>
        <w:jc w:val="both"/>
        <w:rPr>
          <w:rFonts w:ascii="Arial" w:hAnsi="Arial" w:cs="Arial"/>
          <w:b/>
          <w:smallCaps/>
          <w:snapToGrid w:val="0"/>
          <w:sz w:val="32"/>
          <w:szCs w:val="32"/>
          <w:lang w:eastAsia="en-US"/>
        </w:rPr>
      </w:pPr>
      <w:r>
        <w:rPr>
          <w:rFonts w:ascii="Arial" w:hAnsi="Arial" w:cs="Arial"/>
          <w:b/>
          <w:smallCaps/>
          <w:snapToGrid w:val="0"/>
          <w:sz w:val="32"/>
          <w:szCs w:val="32"/>
          <w:lang w:eastAsia="en-US"/>
        </w:rPr>
        <w:t>Part 2C</w:t>
      </w:r>
      <w:r w:rsidR="00802FD9" w:rsidRPr="00802FD9">
        <w:rPr>
          <w:rFonts w:ascii="Arial" w:hAnsi="Arial" w:cs="Arial"/>
          <w:b/>
          <w:smallCaps/>
          <w:snapToGrid w:val="0"/>
          <w:sz w:val="32"/>
          <w:szCs w:val="32"/>
          <w:lang w:eastAsia="en-US"/>
        </w:rPr>
        <w:tab/>
        <w:t>Legal Professional Privilege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pStyle w:val="Heading1"/>
        <w:rPr>
          <w:rFonts w:ascii="Arial" w:hAnsi="Arial" w:cs="Arial"/>
          <w:snapToGrid/>
          <w:sz w:val="28"/>
          <w:szCs w:val="28"/>
        </w:rPr>
      </w:pPr>
      <w:r w:rsidRPr="00802FD9">
        <w:rPr>
          <w:rFonts w:ascii="Arial" w:hAnsi="Arial" w:cs="Arial"/>
          <w:snapToGrid/>
          <w:sz w:val="28"/>
          <w:szCs w:val="28"/>
        </w:rPr>
        <w:t>In This Guideline</w:t>
      </w:r>
    </w:p>
    <w:p w:rsidR="00802FD9" w:rsidRPr="00802FD9" w:rsidRDefault="00802FD9" w:rsidP="00802FD9">
      <w:pPr>
        <w:pStyle w:val="FootnoteText"/>
        <w:rPr>
          <w:rFonts w:ascii="Arial" w:hAnsi="Arial" w:cs="Arial"/>
          <w:sz w:val="23"/>
          <w:szCs w:val="23"/>
        </w:rPr>
      </w:pP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numPr>
          <w:ilvl w:val="0"/>
          <w:numId w:val="1"/>
        </w:num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What is legal professional privilege?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numPr>
          <w:ilvl w:val="0"/>
          <w:numId w:val="1"/>
        </w:num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When does section 9(2)(h) apply?</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numPr>
          <w:ilvl w:val="0"/>
          <w:numId w:val="1"/>
        </w:num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Section 9(2)(h) Summary Sheet</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b/>
          <w:snapToGrid w:val="0"/>
          <w:sz w:val="28"/>
          <w:szCs w:val="28"/>
          <w:lang w:eastAsia="en-US"/>
        </w:rPr>
      </w:pPr>
      <w:r w:rsidRPr="00802FD9">
        <w:rPr>
          <w:rFonts w:ascii="Arial" w:hAnsi="Arial" w:cs="Arial"/>
          <w:b/>
          <w:snapToGrid w:val="0"/>
          <w:sz w:val="28"/>
          <w:szCs w:val="28"/>
          <w:lang w:eastAsia="en-US"/>
        </w:rPr>
        <w:t>Corresponding provision in LGOIMA</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Section 9(2)(h) OIA = section 7(2)(g) LGOIMA</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z w:val="23"/>
          <w:szCs w:val="23"/>
        </w:rPr>
        <w:sectPr w:rsidR="00802FD9" w:rsidRPr="00802FD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sectPr>
      </w:pPr>
    </w:p>
    <w:p w:rsidR="00802FD9" w:rsidRPr="00802FD9" w:rsidRDefault="00802FD9" w:rsidP="00802FD9">
      <w:pPr>
        <w:ind w:right="-57"/>
        <w:jc w:val="both"/>
        <w:rPr>
          <w:rFonts w:ascii="Arial" w:hAnsi="Arial" w:cs="Arial"/>
          <w:sz w:val="23"/>
          <w:szCs w:val="23"/>
        </w:rPr>
      </w:pPr>
    </w:p>
    <w:p w:rsidR="00802FD9" w:rsidRPr="00802FD9" w:rsidRDefault="00802FD9" w:rsidP="00802FD9">
      <w:pPr>
        <w:ind w:right="-57"/>
        <w:jc w:val="both"/>
        <w:rPr>
          <w:rFonts w:ascii="Arial" w:hAnsi="Arial" w:cs="Arial"/>
          <w:b/>
          <w:snapToGrid w:val="0"/>
          <w:sz w:val="23"/>
          <w:szCs w:val="23"/>
          <w:lang w:eastAsia="en-US"/>
        </w:rPr>
      </w:pPr>
      <w:r w:rsidRPr="00802FD9">
        <w:rPr>
          <w:rFonts w:ascii="Arial" w:hAnsi="Arial" w:cs="Arial"/>
          <w:b/>
          <w:snapToGrid w:val="0"/>
          <w:sz w:val="23"/>
          <w:szCs w:val="23"/>
          <w:lang w:eastAsia="en-US"/>
        </w:rPr>
        <w:t xml:space="preserve">What is </w:t>
      </w:r>
      <w:r w:rsidRPr="00802FD9">
        <w:rPr>
          <w:rFonts w:ascii="Arial" w:hAnsi="Arial" w:cs="Arial"/>
          <w:b/>
          <w:i/>
          <w:snapToGrid w:val="0"/>
          <w:sz w:val="23"/>
          <w:szCs w:val="23"/>
          <w:lang w:eastAsia="en-US"/>
        </w:rPr>
        <w:t>"Legal Professional Privilege"</w:t>
      </w:r>
      <w:r w:rsidRPr="00802FD9">
        <w:rPr>
          <w:rFonts w:ascii="Arial" w:hAnsi="Arial" w:cs="Arial"/>
          <w:b/>
          <w:snapToGrid w:val="0"/>
          <w:sz w:val="23"/>
          <w:szCs w:val="23"/>
          <w:lang w:eastAsia="en-US"/>
        </w:rPr>
        <w:t>?</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Legal professional privilege is a public policy privilege designed to protect confidential communications between solicitor and client.  It is based on the impossibility of conducting legal business without professional assistance and the need for full and unreserved confidence between adviser and client in order to receive that assistance effectively.</w:t>
      </w:r>
      <w:r w:rsidRPr="00802FD9">
        <w:rPr>
          <w:rStyle w:val="FootnoteReference"/>
          <w:rFonts w:ascii="Arial" w:hAnsi="Arial" w:cs="Arial"/>
          <w:sz w:val="23"/>
          <w:szCs w:val="23"/>
        </w:rPr>
        <w:footnoteReference w:id="1"/>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There are two aspects to the law relating to legal professional privilege: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numPr>
          <w:ilvl w:val="0"/>
          <w:numId w:val="2"/>
        </w:numPr>
        <w:ind w:right="-57"/>
        <w:jc w:val="both"/>
        <w:rPr>
          <w:rFonts w:ascii="Arial" w:hAnsi="Arial" w:cs="Arial"/>
          <w:snapToGrid w:val="0"/>
          <w:sz w:val="23"/>
          <w:szCs w:val="23"/>
          <w:lang w:eastAsia="en-US"/>
        </w:rPr>
      </w:pPr>
      <w:r w:rsidRPr="00802FD9">
        <w:rPr>
          <w:rFonts w:ascii="Arial" w:hAnsi="Arial" w:cs="Arial"/>
          <w:i/>
          <w:snapToGrid w:val="0"/>
          <w:sz w:val="23"/>
          <w:szCs w:val="23"/>
          <w:lang w:eastAsia="en-US"/>
        </w:rPr>
        <w:t>"solicitor/client privilege"</w:t>
      </w:r>
      <w:r w:rsidRPr="00802FD9">
        <w:rPr>
          <w:rFonts w:ascii="Arial" w:hAnsi="Arial" w:cs="Arial"/>
          <w:snapToGrid w:val="0"/>
          <w:sz w:val="23"/>
          <w:szCs w:val="23"/>
          <w:lang w:eastAsia="en-US"/>
        </w:rPr>
        <w:t xml:space="preserve"> which extends to all communications between a solicitor (acting in that capacity) and the client for the purposes of seeking or giving legal advice or assistance, irrespective of legal proceedings; and,</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numPr>
          <w:ilvl w:val="0"/>
          <w:numId w:val="2"/>
        </w:numPr>
        <w:ind w:right="-57"/>
        <w:jc w:val="both"/>
        <w:rPr>
          <w:rFonts w:ascii="Arial" w:hAnsi="Arial" w:cs="Arial"/>
          <w:snapToGrid w:val="0"/>
          <w:sz w:val="23"/>
          <w:szCs w:val="23"/>
          <w:lang w:eastAsia="en-US"/>
        </w:rPr>
      </w:pPr>
      <w:r w:rsidRPr="00802FD9">
        <w:rPr>
          <w:rFonts w:ascii="Arial" w:hAnsi="Arial" w:cs="Arial"/>
          <w:i/>
          <w:snapToGrid w:val="0"/>
          <w:sz w:val="23"/>
          <w:szCs w:val="23"/>
          <w:lang w:eastAsia="en-US"/>
        </w:rPr>
        <w:t>"litigation privilege"</w:t>
      </w:r>
      <w:r w:rsidRPr="00802FD9">
        <w:rPr>
          <w:rFonts w:ascii="Arial" w:hAnsi="Arial" w:cs="Arial"/>
          <w:snapToGrid w:val="0"/>
          <w:sz w:val="23"/>
          <w:szCs w:val="23"/>
          <w:lang w:eastAsia="en-US"/>
        </w:rPr>
        <w:t xml:space="preserve"> which extends the privilege to communications with third parties where that communication has, as its dominant purpose, the object of enabling a legal adviser to advise a client on the conduct of litigation (whether current or anticipated).</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Legal professional privilege is a privilege held by the client.  Accordingly, even if information is subject to legal professional privilege, it is always open to the client to decide whether to waive that privilege and release the information at issue.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pStyle w:val="Heading2"/>
        <w:rPr>
          <w:rFonts w:ascii="Arial" w:hAnsi="Arial" w:cs="Arial"/>
          <w:snapToGrid/>
          <w:sz w:val="23"/>
          <w:szCs w:val="23"/>
        </w:rPr>
      </w:pPr>
      <w:r w:rsidRPr="00802FD9">
        <w:rPr>
          <w:rFonts w:ascii="Arial" w:hAnsi="Arial" w:cs="Arial"/>
          <w:snapToGrid/>
          <w:sz w:val="23"/>
          <w:szCs w:val="23"/>
        </w:rPr>
        <w:t>When does section 9(2)(h)</w:t>
      </w:r>
      <w:r w:rsidRPr="00802FD9">
        <w:rPr>
          <w:rStyle w:val="FootnoteReference"/>
          <w:rFonts w:ascii="Arial" w:hAnsi="Arial" w:cs="Arial"/>
          <w:snapToGrid/>
          <w:sz w:val="23"/>
          <w:szCs w:val="23"/>
        </w:rPr>
        <w:footnoteReference w:id="2"/>
      </w:r>
      <w:r w:rsidRPr="00802FD9">
        <w:rPr>
          <w:rFonts w:ascii="Arial" w:hAnsi="Arial" w:cs="Arial"/>
          <w:snapToGrid/>
          <w:sz w:val="23"/>
          <w:szCs w:val="23"/>
        </w:rPr>
        <w:t xml:space="preserve"> apply?</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Section 9(2)(h) provides good reason for withholding official information if, and only if,</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numPr>
          <w:ilvl w:val="0"/>
          <w:numId w:val="3"/>
        </w:num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 xml:space="preserve">the withholding of that information is necessary to </w:t>
      </w:r>
      <w:r w:rsidRPr="00802FD9">
        <w:rPr>
          <w:rFonts w:ascii="Arial" w:hAnsi="Arial" w:cs="Arial"/>
          <w:i/>
          <w:snapToGrid w:val="0"/>
          <w:sz w:val="23"/>
          <w:szCs w:val="23"/>
          <w:lang w:eastAsia="en-US"/>
        </w:rPr>
        <w:t xml:space="preserve">"maintain legal professional privilege"; </w:t>
      </w:r>
      <w:r w:rsidRPr="00802FD9">
        <w:rPr>
          <w:rFonts w:ascii="Arial" w:hAnsi="Arial" w:cs="Arial"/>
          <w:snapToGrid w:val="0"/>
          <w:sz w:val="23"/>
          <w:szCs w:val="23"/>
          <w:lang w:eastAsia="en-US"/>
        </w:rPr>
        <w:t>and</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numPr>
          <w:ilvl w:val="0"/>
          <w:numId w:val="3"/>
        </w:num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 xml:space="preserve">this interest is not </w:t>
      </w:r>
      <w:r w:rsidRPr="00802FD9">
        <w:rPr>
          <w:rFonts w:ascii="Arial" w:hAnsi="Arial" w:cs="Arial"/>
          <w:i/>
          <w:snapToGrid w:val="0"/>
          <w:sz w:val="23"/>
          <w:szCs w:val="23"/>
          <w:lang w:eastAsia="en-US"/>
        </w:rPr>
        <w:t>"outweighed by other considerations which render it desirable, in the public interest, to make that information available."</w:t>
      </w:r>
      <w:r w:rsidRPr="00802FD9">
        <w:rPr>
          <w:rStyle w:val="FootnoteReference"/>
          <w:rFonts w:ascii="Arial" w:hAnsi="Arial" w:cs="Arial"/>
          <w:sz w:val="23"/>
          <w:szCs w:val="23"/>
        </w:rPr>
        <w:footnoteReference w:id="3"/>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Both of these elements must be satisfied before section 9(2)(h) provides good reason for refusing a request.</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pStyle w:val="BodyText"/>
        <w:rPr>
          <w:rFonts w:ascii="Arial" w:hAnsi="Arial" w:cs="Arial"/>
          <w:b w:val="0"/>
          <w:snapToGrid/>
          <w:sz w:val="23"/>
          <w:szCs w:val="23"/>
          <w:u w:val="single"/>
        </w:rPr>
      </w:pPr>
      <w:r w:rsidRPr="00802FD9">
        <w:rPr>
          <w:rFonts w:ascii="Arial" w:hAnsi="Arial" w:cs="Arial"/>
          <w:b w:val="0"/>
          <w:snapToGrid/>
          <w:sz w:val="23"/>
          <w:szCs w:val="23"/>
          <w:u w:val="single"/>
        </w:rPr>
        <w:t xml:space="preserve">Is it necessary to withhold the information to </w:t>
      </w:r>
      <w:r w:rsidRPr="00802FD9">
        <w:rPr>
          <w:rFonts w:ascii="Arial" w:hAnsi="Arial" w:cs="Arial"/>
          <w:b w:val="0"/>
          <w:i/>
          <w:snapToGrid/>
          <w:sz w:val="23"/>
          <w:szCs w:val="23"/>
          <w:u w:val="single"/>
        </w:rPr>
        <w:t>"maintain legal professional privilege?"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In order to answer this question, an agency will need to take the following steps:</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hanging="709"/>
        <w:jc w:val="both"/>
        <w:rPr>
          <w:rFonts w:ascii="Arial" w:hAnsi="Arial" w:cs="Arial"/>
          <w:snapToGrid w:val="0"/>
          <w:sz w:val="23"/>
          <w:szCs w:val="23"/>
          <w:lang w:eastAsia="en-US"/>
        </w:rPr>
      </w:pPr>
      <w:r w:rsidRPr="00802FD9">
        <w:rPr>
          <w:rFonts w:ascii="Arial" w:hAnsi="Arial" w:cs="Arial"/>
          <w:snapToGrid w:val="0"/>
          <w:sz w:val="23"/>
          <w:szCs w:val="23"/>
          <w:lang w:eastAsia="en-US"/>
        </w:rPr>
        <w:t>(i)</w:t>
      </w:r>
      <w:r w:rsidRPr="00802FD9">
        <w:rPr>
          <w:rFonts w:ascii="Arial" w:hAnsi="Arial" w:cs="Arial"/>
          <w:snapToGrid w:val="0"/>
          <w:sz w:val="23"/>
          <w:szCs w:val="23"/>
          <w:lang w:eastAsia="en-US"/>
        </w:rPr>
        <w:tab/>
        <w:t>Decide whether the information at issue is covered by legal professional privilege.</w:t>
      </w:r>
    </w:p>
    <w:p w:rsidR="00802FD9" w:rsidRDefault="00802FD9" w:rsidP="00802FD9">
      <w:pPr>
        <w:pStyle w:val="BlockText"/>
        <w:rPr>
          <w:rFonts w:ascii="Arial" w:hAnsi="Arial" w:cs="Arial"/>
          <w:snapToGrid/>
          <w:sz w:val="23"/>
          <w:szCs w:val="23"/>
        </w:rPr>
      </w:pPr>
    </w:p>
    <w:p w:rsidR="00802FD9" w:rsidRPr="00802FD9" w:rsidRDefault="00802FD9" w:rsidP="00802FD9">
      <w:pPr>
        <w:pStyle w:val="BlockText"/>
        <w:rPr>
          <w:rFonts w:ascii="Arial" w:hAnsi="Arial" w:cs="Arial"/>
          <w:snapToGrid/>
          <w:sz w:val="23"/>
          <w:szCs w:val="23"/>
        </w:rPr>
      </w:pPr>
      <w:r w:rsidRPr="00802FD9">
        <w:rPr>
          <w:rFonts w:ascii="Arial" w:hAnsi="Arial" w:cs="Arial"/>
          <w:snapToGrid/>
          <w:sz w:val="23"/>
          <w:szCs w:val="23"/>
        </w:rPr>
        <w:t>It is well established that agencies and Ministers have the same rights as private organisations to obtain legal advice.  For the purposes of the application of legal professional privilege, it is immaterial whether the lawyer providing the advice is in independent practice or is employed in-house.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jc w:val="both"/>
        <w:rPr>
          <w:rFonts w:ascii="Arial" w:hAnsi="Arial" w:cs="Arial"/>
          <w:snapToGrid w:val="0"/>
          <w:sz w:val="23"/>
          <w:szCs w:val="23"/>
          <w:lang w:eastAsia="en-US"/>
        </w:rPr>
      </w:pPr>
      <w:r w:rsidRPr="00802FD9">
        <w:rPr>
          <w:rFonts w:ascii="Arial" w:hAnsi="Arial" w:cs="Arial"/>
          <w:snapToGrid w:val="0"/>
          <w:sz w:val="23"/>
          <w:szCs w:val="23"/>
          <w:lang w:eastAsia="en-US"/>
        </w:rPr>
        <w:t>A document does not become the subject of legal professional privilege merely because it is signed by a legal adviser or includes a claim to being privileged.  Consideration must always be given to the content and substance of the specific information at issue and the purpose for which it was provided.  For example, it must be established that the information at issue is a communication from a professional legal adviser, retained in that capacity for the purpose of providing confid</w:t>
      </w:r>
      <w:r>
        <w:rPr>
          <w:rFonts w:ascii="Arial" w:hAnsi="Arial" w:cs="Arial"/>
          <w:snapToGrid w:val="0"/>
          <w:sz w:val="23"/>
          <w:szCs w:val="23"/>
          <w:lang w:eastAsia="en-US"/>
        </w:rPr>
        <w:t>ential legal advice to a client.</w:t>
      </w:r>
      <w:r w:rsidRPr="00802FD9">
        <w:rPr>
          <w:rFonts w:ascii="Arial" w:hAnsi="Arial" w:cs="Arial"/>
          <w:snapToGrid w:val="0"/>
          <w:sz w:val="23"/>
          <w:szCs w:val="23"/>
          <w:lang w:eastAsia="en-US"/>
        </w:rPr>
        <w:t xml:space="preserve"> </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jc w:val="both"/>
        <w:rPr>
          <w:rFonts w:ascii="Arial" w:hAnsi="Arial" w:cs="Arial"/>
          <w:snapToGrid w:val="0"/>
          <w:sz w:val="23"/>
          <w:szCs w:val="23"/>
          <w:lang w:eastAsia="en-US"/>
        </w:rPr>
      </w:pPr>
      <w:r w:rsidRPr="00802FD9">
        <w:rPr>
          <w:rFonts w:ascii="Arial" w:hAnsi="Arial" w:cs="Arial"/>
          <w:snapToGrid w:val="0"/>
          <w:sz w:val="23"/>
          <w:szCs w:val="23"/>
          <w:lang w:eastAsia="en-US"/>
        </w:rPr>
        <w:t xml:space="preserve">A succinct statement is given in </w:t>
      </w:r>
      <w:r w:rsidRPr="00802FD9">
        <w:rPr>
          <w:rFonts w:ascii="Arial" w:hAnsi="Arial" w:cs="Arial"/>
          <w:i/>
          <w:snapToGrid w:val="0"/>
          <w:sz w:val="23"/>
          <w:szCs w:val="23"/>
          <w:lang w:eastAsia="en-US"/>
        </w:rPr>
        <w:t>Re Merit Finance and Investment Group</w:t>
      </w:r>
      <w:r w:rsidRPr="00802FD9">
        <w:rPr>
          <w:rFonts w:ascii="Arial" w:hAnsi="Arial" w:cs="Arial"/>
          <w:snapToGrid w:val="0"/>
          <w:sz w:val="23"/>
          <w:szCs w:val="23"/>
          <w:lang w:eastAsia="en-US"/>
        </w:rPr>
        <w:t>, where the High Court stated:</w:t>
      </w:r>
      <w:r w:rsidRPr="00802FD9">
        <w:rPr>
          <w:rStyle w:val="FootnoteReference"/>
          <w:rFonts w:ascii="Arial" w:hAnsi="Arial" w:cs="Arial"/>
          <w:sz w:val="23"/>
          <w:szCs w:val="23"/>
        </w:rPr>
        <w:t xml:space="preserve"> </w:t>
      </w:r>
      <w:r w:rsidRPr="00802FD9">
        <w:rPr>
          <w:rStyle w:val="FootnoteReference"/>
          <w:rFonts w:ascii="Arial" w:hAnsi="Arial" w:cs="Arial"/>
          <w:sz w:val="23"/>
          <w:szCs w:val="23"/>
        </w:rPr>
        <w:footnoteReference w:id="4"/>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993" w:right="368"/>
        <w:jc w:val="both"/>
        <w:rPr>
          <w:rFonts w:ascii="Arial" w:hAnsi="Arial" w:cs="Arial"/>
          <w:i/>
          <w:snapToGrid w:val="0"/>
          <w:sz w:val="23"/>
          <w:szCs w:val="23"/>
          <w:lang w:eastAsia="en-US"/>
        </w:rPr>
      </w:pPr>
      <w:r w:rsidRPr="00802FD9">
        <w:rPr>
          <w:rFonts w:ascii="Arial" w:hAnsi="Arial" w:cs="Arial"/>
          <w:i/>
          <w:snapToGrid w:val="0"/>
          <w:sz w:val="23"/>
          <w:szCs w:val="23"/>
          <w:lang w:eastAsia="en-US"/>
        </w:rPr>
        <w:t>"The essential question in any consideration of whether or not a document is privileged is, was it brought into existence for the purpose of 'getting or giving confidential legal advice or assistance</w:t>
      </w:r>
      <w:r>
        <w:rPr>
          <w:rFonts w:ascii="Arial" w:hAnsi="Arial" w:cs="Arial"/>
          <w:i/>
          <w:snapToGrid w:val="0"/>
          <w:sz w:val="23"/>
          <w:szCs w:val="23"/>
          <w:lang w:eastAsia="en-US"/>
        </w:rPr>
        <w:t>?</w:t>
      </w:r>
      <w:r w:rsidRPr="00802FD9">
        <w:rPr>
          <w:rFonts w:ascii="Arial" w:hAnsi="Arial" w:cs="Arial"/>
          <w:i/>
          <w:snapToGrid w:val="0"/>
          <w:sz w:val="23"/>
          <w:szCs w:val="23"/>
          <w:lang w:eastAsia="en-US"/>
        </w:rPr>
        <w:t>'"</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hanging="709"/>
        <w:jc w:val="both"/>
        <w:rPr>
          <w:rFonts w:ascii="Arial" w:hAnsi="Arial" w:cs="Arial"/>
          <w:snapToGrid w:val="0"/>
          <w:sz w:val="23"/>
          <w:szCs w:val="23"/>
          <w:lang w:eastAsia="en-US"/>
        </w:rPr>
      </w:pPr>
      <w:r w:rsidRPr="00802FD9">
        <w:rPr>
          <w:rFonts w:ascii="Arial" w:hAnsi="Arial" w:cs="Arial"/>
          <w:snapToGrid w:val="0"/>
          <w:sz w:val="23"/>
          <w:szCs w:val="23"/>
          <w:lang w:eastAsia="en-US"/>
        </w:rPr>
        <w:t>(ii)</w:t>
      </w:r>
      <w:r w:rsidRPr="00802FD9">
        <w:rPr>
          <w:rFonts w:ascii="Arial" w:hAnsi="Arial" w:cs="Arial"/>
          <w:snapToGrid w:val="0"/>
          <w:sz w:val="23"/>
          <w:szCs w:val="23"/>
          <w:lang w:eastAsia="en-US"/>
        </w:rPr>
        <w:tab/>
        <w:t xml:space="preserve">Decide whether it is </w:t>
      </w:r>
      <w:r w:rsidRPr="00802FD9">
        <w:rPr>
          <w:rFonts w:ascii="Arial" w:hAnsi="Arial" w:cs="Arial"/>
          <w:i/>
          <w:snapToGrid w:val="0"/>
          <w:sz w:val="23"/>
          <w:szCs w:val="23"/>
          <w:lang w:eastAsia="en-US"/>
        </w:rPr>
        <w:t>"necessary"</w:t>
      </w:r>
      <w:r w:rsidRPr="00802FD9">
        <w:rPr>
          <w:rFonts w:ascii="Arial" w:hAnsi="Arial" w:cs="Arial"/>
          <w:snapToGrid w:val="0"/>
          <w:sz w:val="23"/>
          <w:szCs w:val="23"/>
          <w:lang w:eastAsia="en-US"/>
        </w:rPr>
        <w:t xml:space="preserve"> to withhold that information in order to </w:t>
      </w:r>
      <w:r w:rsidRPr="00802FD9">
        <w:rPr>
          <w:rFonts w:ascii="Arial" w:hAnsi="Arial" w:cs="Arial"/>
          <w:i/>
          <w:snapToGrid w:val="0"/>
          <w:sz w:val="23"/>
          <w:szCs w:val="23"/>
          <w:lang w:eastAsia="en-US"/>
        </w:rPr>
        <w:t>"maintain"</w:t>
      </w:r>
      <w:r w:rsidRPr="00802FD9">
        <w:rPr>
          <w:rFonts w:ascii="Arial" w:hAnsi="Arial" w:cs="Arial"/>
          <w:snapToGrid w:val="0"/>
          <w:sz w:val="23"/>
          <w:szCs w:val="23"/>
          <w:lang w:eastAsia="en-US"/>
        </w:rPr>
        <w:t xml:space="preserve"> legal professional privilege.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jc w:val="both"/>
        <w:rPr>
          <w:rFonts w:ascii="Arial" w:hAnsi="Arial" w:cs="Arial"/>
          <w:snapToGrid w:val="0"/>
          <w:sz w:val="23"/>
          <w:szCs w:val="23"/>
          <w:lang w:eastAsia="en-US"/>
        </w:rPr>
      </w:pPr>
      <w:r w:rsidRPr="00802FD9">
        <w:rPr>
          <w:rFonts w:ascii="Arial" w:hAnsi="Arial" w:cs="Arial"/>
          <w:snapToGrid w:val="0"/>
          <w:sz w:val="23"/>
          <w:szCs w:val="23"/>
          <w:lang w:eastAsia="en-US"/>
        </w:rPr>
        <w:t xml:space="preserve">In answering this question, consideration will need to be given to the issue of whether legal professional privilege has been waived.  Where waiver, either express or implied, has occurred, it cannot be </w:t>
      </w:r>
      <w:r w:rsidRPr="00802FD9">
        <w:rPr>
          <w:rFonts w:ascii="Arial" w:hAnsi="Arial" w:cs="Arial"/>
          <w:i/>
          <w:snapToGrid w:val="0"/>
          <w:sz w:val="23"/>
          <w:szCs w:val="23"/>
          <w:lang w:eastAsia="en-US"/>
        </w:rPr>
        <w:t>"necessary"</w:t>
      </w:r>
      <w:r w:rsidRPr="00802FD9">
        <w:rPr>
          <w:rFonts w:ascii="Arial" w:hAnsi="Arial" w:cs="Arial"/>
          <w:snapToGrid w:val="0"/>
          <w:sz w:val="23"/>
          <w:szCs w:val="23"/>
          <w:lang w:eastAsia="en-US"/>
        </w:rPr>
        <w:t xml:space="preserve"> to withhold the information at issue in order to </w:t>
      </w:r>
      <w:r w:rsidRPr="00802FD9">
        <w:rPr>
          <w:rFonts w:ascii="Arial" w:hAnsi="Arial" w:cs="Arial"/>
          <w:i/>
          <w:snapToGrid w:val="0"/>
          <w:sz w:val="23"/>
          <w:szCs w:val="23"/>
          <w:lang w:eastAsia="en-US"/>
        </w:rPr>
        <w:t>"maintain"</w:t>
      </w:r>
      <w:r w:rsidRPr="00802FD9">
        <w:rPr>
          <w:rFonts w:ascii="Arial" w:hAnsi="Arial" w:cs="Arial"/>
          <w:snapToGrid w:val="0"/>
          <w:sz w:val="23"/>
          <w:szCs w:val="23"/>
          <w:lang w:eastAsia="en-US"/>
        </w:rPr>
        <w:t xml:space="preserve"> legal professional privilege.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jc w:val="both"/>
        <w:rPr>
          <w:rFonts w:ascii="Arial" w:hAnsi="Arial" w:cs="Arial"/>
          <w:snapToGrid w:val="0"/>
          <w:sz w:val="23"/>
          <w:szCs w:val="23"/>
          <w:lang w:eastAsia="en-US"/>
        </w:rPr>
      </w:pPr>
      <w:r w:rsidRPr="00802FD9">
        <w:rPr>
          <w:rFonts w:ascii="Arial" w:hAnsi="Arial" w:cs="Arial"/>
          <w:snapToGrid w:val="0"/>
          <w:sz w:val="23"/>
          <w:szCs w:val="23"/>
          <w:lang w:eastAsia="en-US"/>
        </w:rPr>
        <w:t xml:space="preserve">Section 9(2)(h) also allows for the possibility that, in certain circumstances, withholding information may not be </w:t>
      </w:r>
      <w:r w:rsidRPr="00802FD9">
        <w:rPr>
          <w:rFonts w:ascii="Arial" w:hAnsi="Arial" w:cs="Arial"/>
          <w:i/>
          <w:snapToGrid w:val="0"/>
          <w:sz w:val="23"/>
          <w:szCs w:val="23"/>
          <w:lang w:eastAsia="en-US"/>
        </w:rPr>
        <w:t>"necessary"</w:t>
      </w:r>
      <w:r w:rsidRPr="00802FD9">
        <w:rPr>
          <w:rFonts w:ascii="Arial" w:hAnsi="Arial" w:cs="Arial"/>
          <w:snapToGrid w:val="0"/>
          <w:sz w:val="23"/>
          <w:szCs w:val="23"/>
          <w:lang w:eastAsia="en-US"/>
        </w:rPr>
        <w:t xml:space="preserve"> to </w:t>
      </w:r>
      <w:r w:rsidRPr="00802FD9">
        <w:rPr>
          <w:rFonts w:ascii="Arial" w:hAnsi="Arial" w:cs="Arial"/>
          <w:i/>
          <w:snapToGrid w:val="0"/>
          <w:sz w:val="23"/>
          <w:szCs w:val="23"/>
          <w:lang w:eastAsia="en-US"/>
        </w:rPr>
        <w:t>"maintain"</w:t>
      </w:r>
      <w:r w:rsidRPr="00802FD9">
        <w:rPr>
          <w:rFonts w:ascii="Arial" w:hAnsi="Arial" w:cs="Arial"/>
          <w:snapToGrid w:val="0"/>
          <w:sz w:val="23"/>
          <w:szCs w:val="23"/>
          <w:lang w:eastAsia="en-US"/>
        </w:rPr>
        <w:t xml:space="preserve"> legal professional privilege, irrespective of whether that privilege has been expressly waived.  In assessing whether section 9(2)(h) applies, the purpose is not to determine the legal issue of whether waiver has occurred, but to form an opinion, in light of all the available facts, whether withholding the information is </w:t>
      </w:r>
      <w:r w:rsidRPr="00802FD9">
        <w:rPr>
          <w:rFonts w:ascii="Arial" w:hAnsi="Arial" w:cs="Arial"/>
          <w:i/>
          <w:snapToGrid w:val="0"/>
          <w:sz w:val="23"/>
          <w:szCs w:val="23"/>
          <w:lang w:eastAsia="en-US"/>
        </w:rPr>
        <w:t xml:space="preserve">"necessary" </w:t>
      </w:r>
      <w:r w:rsidRPr="00802FD9">
        <w:rPr>
          <w:rFonts w:ascii="Arial" w:hAnsi="Arial" w:cs="Arial"/>
          <w:snapToGrid w:val="0"/>
          <w:sz w:val="23"/>
          <w:szCs w:val="23"/>
          <w:lang w:eastAsia="en-US"/>
        </w:rPr>
        <w:t>for the maintenance of the privilege.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jc w:val="both"/>
        <w:rPr>
          <w:rFonts w:ascii="Arial" w:hAnsi="Arial" w:cs="Arial"/>
          <w:snapToGrid w:val="0"/>
          <w:sz w:val="23"/>
          <w:szCs w:val="23"/>
          <w:lang w:eastAsia="en-US"/>
        </w:rPr>
      </w:pPr>
      <w:r w:rsidRPr="00802FD9">
        <w:rPr>
          <w:rFonts w:ascii="Arial" w:hAnsi="Arial" w:cs="Arial"/>
          <w:snapToGrid w:val="0"/>
          <w:sz w:val="23"/>
          <w:szCs w:val="23"/>
          <w:lang w:eastAsia="en-US"/>
        </w:rPr>
        <w:t xml:space="preserve">The view traditionally taken has been that it would not be </w:t>
      </w:r>
      <w:r w:rsidRPr="00802FD9">
        <w:rPr>
          <w:rFonts w:ascii="Arial" w:hAnsi="Arial" w:cs="Arial"/>
          <w:i/>
          <w:snapToGrid w:val="0"/>
          <w:sz w:val="23"/>
          <w:szCs w:val="23"/>
          <w:lang w:eastAsia="en-US"/>
        </w:rPr>
        <w:t>"necessary",</w:t>
      </w:r>
      <w:r w:rsidRPr="00802FD9">
        <w:rPr>
          <w:rFonts w:ascii="Arial" w:hAnsi="Arial" w:cs="Arial"/>
          <w:snapToGrid w:val="0"/>
          <w:sz w:val="23"/>
          <w:szCs w:val="23"/>
          <w:lang w:eastAsia="en-US"/>
        </w:rPr>
        <w:t xml:space="preserve"> for the purposes of section 9(2)(h), to withhold information in circumstances where, if legal proceedings were issued, a Court would be likely to hold that the privilege had been waived.  A detailed discussion on the issue of implied waiver can be found in the </w:t>
      </w:r>
      <w:r w:rsidRPr="00802FD9">
        <w:rPr>
          <w:rFonts w:ascii="Arial" w:hAnsi="Arial" w:cs="Arial"/>
          <w:i/>
          <w:snapToGrid w:val="0"/>
          <w:sz w:val="23"/>
          <w:szCs w:val="23"/>
          <w:lang w:eastAsia="en-US"/>
        </w:rPr>
        <w:t>12</w:t>
      </w:r>
      <w:r w:rsidRPr="00802FD9">
        <w:rPr>
          <w:rFonts w:ascii="Arial" w:hAnsi="Arial" w:cs="Arial"/>
          <w:i/>
          <w:snapToGrid w:val="0"/>
          <w:sz w:val="23"/>
          <w:szCs w:val="23"/>
          <w:vertAlign w:val="superscript"/>
          <w:lang w:eastAsia="en-US"/>
        </w:rPr>
        <w:t>th</w:t>
      </w:r>
      <w:r w:rsidRPr="00802FD9">
        <w:rPr>
          <w:rFonts w:ascii="Arial" w:hAnsi="Arial" w:cs="Arial"/>
          <w:i/>
          <w:snapToGrid w:val="0"/>
          <w:sz w:val="23"/>
          <w:szCs w:val="23"/>
          <w:lang w:eastAsia="en-US"/>
        </w:rPr>
        <w:t xml:space="preserve"> Compendium of Case</w:t>
      </w:r>
      <w:r>
        <w:rPr>
          <w:rFonts w:ascii="Arial" w:hAnsi="Arial" w:cs="Arial"/>
          <w:i/>
          <w:snapToGrid w:val="0"/>
          <w:sz w:val="23"/>
          <w:szCs w:val="23"/>
          <w:lang w:eastAsia="en-US"/>
        </w:rPr>
        <w:t xml:space="preserve"> N</w:t>
      </w:r>
      <w:r w:rsidRPr="00802FD9">
        <w:rPr>
          <w:rFonts w:ascii="Arial" w:hAnsi="Arial" w:cs="Arial"/>
          <w:i/>
          <w:snapToGrid w:val="0"/>
          <w:sz w:val="23"/>
          <w:szCs w:val="23"/>
          <w:lang w:eastAsia="en-US"/>
        </w:rPr>
        <w:t>otes of the Ombudsmen</w:t>
      </w:r>
      <w:r w:rsidRPr="00802FD9">
        <w:rPr>
          <w:rFonts w:ascii="Arial" w:hAnsi="Arial" w:cs="Arial"/>
          <w:snapToGrid w:val="0"/>
          <w:sz w:val="23"/>
          <w:szCs w:val="23"/>
          <w:lang w:eastAsia="en-US"/>
        </w:rPr>
        <w:t>.</w:t>
      </w:r>
      <w:r w:rsidRPr="00802FD9">
        <w:rPr>
          <w:rStyle w:val="FootnoteReference"/>
          <w:rFonts w:ascii="Arial" w:hAnsi="Arial" w:cs="Arial"/>
          <w:sz w:val="23"/>
          <w:szCs w:val="23"/>
        </w:rPr>
        <w:footnoteReference w:id="5"/>
      </w:r>
      <w:r w:rsidRPr="00802FD9">
        <w:rPr>
          <w:rFonts w:ascii="Arial" w:hAnsi="Arial" w:cs="Arial"/>
          <w:snapToGrid w:val="0"/>
          <w:sz w:val="23"/>
          <w:szCs w:val="23"/>
          <w:lang w:eastAsia="en-US"/>
        </w:rPr>
        <w:t xml:space="preserve"> </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If the agency is satisfied that it is necessary to withhold the information at issue in order to maintain legal professional privilege, then section 9(2)(h) is likely to apply.</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Before section 9(2)(h) provides “</w:t>
      </w:r>
      <w:r w:rsidRPr="00802FD9">
        <w:rPr>
          <w:rFonts w:ascii="Arial" w:hAnsi="Arial" w:cs="Arial"/>
          <w:i/>
          <w:snapToGrid w:val="0"/>
          <w:sz w:val="23"/>
          <w:szCs w:val="23"/>
          <w:lang w:eastAsia="en-US"/>
        </w:rPr>
        <w:t>good reason</w:t>
      </w:r>
      <w:r w:rsidRPr="00802FD9">
        <w:rPr>
          <w:rFonts w:ascii="Arial" w:hAnsi="Arial" w:cs="Arial"/>
          <w:snapToGrid w:val="0"/>
          <w:sz w:val="23"/>
          <w:szCs w:val="23"/>
          <w:lang w:eastAsia="en-US"/>
        </w:rPr>
        <w:t>” for withholding information, the agency must go on to consider whether the interest in withholding the information is outweighed by other considerations which render it desirable, in the public interest, to make that information available.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u w:val="single"/>
          <w:lang w:eastAsia="en-US"/>
        </w:rPr>
      </w:pPr>
      <w:r w:rsidRPr="00802FD9">
        <w:rPr>
          <w:rFonts w:ascii="Arial" w:hAnsi="Arial" w:cs="Arial"/>
          <w:snapToGrid w:val="0"/>
          <w:sz w:val="23"/>
          <w:szCs w:val="23"/>
          <w:u w:val="single"/>
          <w:lang w:eastAsia="en-US"/>
        </w:rPr>
        <w:t xml:space="preserve">Assess whether the interest in withholding the information is </w:t>
      </w:r>
      <w:r w:rsidRPr="00802FD9">
        <w:rPr>
          <w:rFonts w:ascii="Arial" w:hAnsi="Arial" w:cs="Arial"/>
          <w:i/>
          <w:snapToGrid w:val="0"/>
          <w:sz w:val="23"/>
          <w:szCs w:val="23"/>
          <w:u w:val="single"/>
          <w:lang w:eastAsia="en-US"/>
        </w:rPr>
        <w:t>"outweighed by other considerations which render it desirable, in the public interest, to make that information available</w:t>
      </w:r>
      <w:r w:rsidRPr="00802FD9">
        <w:rPr>
          <w:rFonts w:ascii="Arial" w:hAnsi="Arial" w:cs="Arial"/>
          <w:i/>
          <w:snapToGrid w:val="0"/>
          <w:sz w:val="23"/>
          <w:szCs w:val="23"/>
          <w:lang w:eastAsia="en-US"/>
        </w:rPr>
        <w:t>"</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In order to answer this question, an agency will need to take the following steps:</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hanging="709"/>
        <w:jc w:val="both"/>
        <w:rPr>
          <w:rFonts w:ascii="Arial" w:hAnsi="Arial" w:cs="Arial"/>
          <w:snapToGrid w:val="0"/>
          <w:sz w:val="23"/>
          <w:szCs w:val="23"/>
          <w:lang w:eastAsia="en-US"/>
        </w:rPr>
      </w:pPr>
      <w:r w:rsidRPr="00802FD9">
        <w:rPr>
          <w:rFonts w:ascii="Arial" w:hAnsi="Arial" w:cs="Arial"/>
          <w:snapToGrid w:val="0"/>
          <w:sz w:val="23"/>
          <w:szCs w:val="23"/>
          <w:lang w:eastAsia="en-US"/>
        </w:rPr>
        <w:t>(i)</w:t>
      </w:r>
      <w:r w:rsidRPr="00802FD9">
        <w:rPr>
          <w:rFonts w:ascii="Arial" w:hAnsi="Arial" w:cs="Arial"/>
          <w:snapToGrid w:val="0"/>
          <w:sz w:val="23"/>
          <w:szCs w:val="23"/>
          <w:lang w:eastAsia="en-US"/>
        </w:rPr>
        <w:tab/>
        <w:t>Identify any considerations that may favour disclosure of the information in the public interest.</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hanging="709"/>
        <w:jc w:val="both"/>
        <w:rPr>
          <w:rFonts w:ascii="Arial" w:hAnsi="Arial" w:cs="Arial"/>
          <w:snapToGrid w:val="0"/>
          <w:sz w:val="23"/>
          <w:szCs w:val="23"/>
          <w:lang w:eastAsia="en-US"/>
        </w:rPr>
      </w:pPr>
      <w:r w:rsidRPr="00802FD9">
        <w:rPr>
          <w:rFonts w:ascii="Arial" w:hAnsi="Arial" w:cs="Arial"/>
          <w:snapToGrid w:val="0"/>
          <w:sz w:val="23"/>
          <w:szCs w:val="23"/>
          <w:lang w:eastAsia="en-US"/>
        </w:rPr>
        <w:t>(ii)</w:t>
      </w:r>
      <w:r w:rsidRPr="00802FD9">
        <w:rPr>
          <w:rFonts w:ascii="Arial" w:hAnsi="Arial" w:cs="Arial"/>
          <w:snapToGrid w:val="0"/>
          <w:sz w:val="23"/>
          <w:szCs w:val="23"/>
          <w:lang w:eastAsia="en-US"/>
        </w:rPr>
        <w:tab/>
        <w:t>Consider whether disclosure of the actual information requested would in fact promote these considerations.</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hanging="709"/>
        <w:jc w:val="both"/>
        <w:rPr>
          <w:rFonts w:ascii="Arial" w:hAnsi="Arial" w:cs="Arial"/>
          <w:snapToGrid w:val="0"/>
          <w:sz w:val="23"/>
          <w:szCs w:val="23"/>
          <w:lang w:eastAsia="en-US"/>
        </w:rPr>
      </w:pPr>
      <w:r w:rsidRPr="00802FD9">
        <w:rPr>
          <w:rFonts w:ascii="Arial" w:hAnsi="Arial" w:cs="Arial"/>
          <w:snapToGrid w:val="0"/>
          <w:sz w:val="23"/>
          <w:szCs w:val="23"/>
          <w:lang w:eastAsia="en-US"/>
        </w:rPr>
        <w:t>(iii)</w:t>
      </w:r>
      <w:r w:rsidRPr="00802FD9">
        <w:rPr>
          <w:rFonts w:ascii="Arial" w:hAnsi="Arial" w:cs="Arial"/>
          <w:snapToGrid w:val="0"/>
          <w:sz w:val="23"/>
          <w:szCs w:val="23"/>
          <w:lang w:eastAsia="en-US"/>
        </w:rPr>
        <w:tab/>
        <w:t>Finally, consider whether, in the circumstances of the particular case, the considerations favouring disclosure outweigh, in the public interest, the need to withhold the information requested to maintain legal professional privilege.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 xml:space="preserve">Legal professional privilege has long been regarded as </w:t>
      </w:r>
      <w:r w:rsidRPr="00802FD9">
        <w:rPr>
          <w:rFonts w:ascii="Arial" w:hAnsi="Arial" w:cs="Arial"/>
          <w:i/>
          <w:snapToGrid w:val="0"/>
          <w:sz w:val="23"/>
          <w:szCs w:val="23"/>
          <w:lang w:eastAsia="en-US"/>
        </w:rPr>
        <w:t>"a fundamental element in the administration of justice."</w:t>
      </w:r>
      <w:r w:rsidRPr="00802FD9">
        <w:rPr>
          <w:rStyle w:val="FootnoteReference"/>
          <w:rFonts w:ascii="Arial" w:hAnsi="Arial" w:cs="Arial"/>
          <w:i/>
          <w:sz w:val="23"/>
          <w:szCs w:val="23"/>
        </w:rPr>
        <w:footnoteReference w:id="6"/>
      </w:r>
      <w:r w:rsidRPr="00802FD9">
        <w:rPr>
          <w:rFonts w:ascii="Arial" w:hAnsi="Arial" w:cs="Arial"/>
          <w:i/>
          <w:snapToGrid w:val="0"/>
          <w:sz w:val="23"/>
          <w:szCs w:val="23"/>
          <w:lang w:eastAsia="en-US"/>
        </w:rPr>
        <w:t xml:space="preserve">  </w:t>
      </w:r>
      <w:r w:rsidRPr="00802FD9">
        <w:rPr>
          <w:rFonts w:ascii="Arial" w:hAnsi="Arial" w:cs="Arial"/>
          <w:snapToGrid w:val="0"/>
          <w:sz w:val="23"/>
          <w:szCs w:val="23"/>
          <w:lang w:eastAsia="en-US"/>
        </w:rPr>
        <w:t>As such, the public interest in ensuring the maintenance of the privilege is very high.  Given the strength of the public interest in ensuring the maintenance of legal professional privilege, any public interest consideration, in terms of section 9(1), which might outweigh the interest which section 9(2)(h) is designed to protect would need to be particularly strong.</w:t>
      </w:r>
    </w:p>
    <w:p w:rsidR="00802FD9" w:rsidRPr="00802FD9" w:rsidRDefault="00802FD9" w:rsidP="00802FD9">
      <w:pPr>
        <w:ind w:right="-57"/>
        <w:jc w:val="both"/>
        <w:rPr>
          <w:rFonts w:ascii="Arial" w:hAnsi="Arial" w:cs="Arial"/>
          <w:snapToGrid w:val="0"/>
          <w:sz w:val="23"/>
          <w:szCs w:val="23"/>
          <w:lang w:eastAsia="en-US"/>
        </w:rPr>
      </w:pPr>
    </w:p>
    <w:p w:rsid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 xml:space="preserve">Issues to consider when identifying and assessing the strength of public interest considerations are discussed further </w:t>
      </w:r>
      <w:r>
        <w:rPr>
          <w:rFonts w:ascii="Arial" w:hAnsi="Arial" w:cs="Arial"/>
          <w:snapToGrid w:val="0"/>
          <w:sz w:val="23"/>
          <w:szCs w:val="23"/>
          <w:lang w:eastAsia="en-US"/>
        </w:rPr>
        <w:t xml:space="preserve">in </w:t>
      </w:r>
      <w:r w:rsidR="0080481A">
        <w:rPr>
          <w:rFonts w:ascii="Arial" w:hAnsi="Arial" w:cs="Arial"/>
          <w:snapToGrid w:val="0"/>
          <w:sz w:val="23"/>
          <w:szCs w:val="23"/>
          <w:lang w:eastAsia="en-US"/>
        </w:rPr>
        <w:t>Part 2D</w:t>
      </w:r>
      <w:r>
        <w:rPr>
          <w:rFonts w:ascii="Arial" w:hAnsi="Arial" w:cs="Arial"/>
          <w:snapToGrid w:val="0"/>
          <w:sz w:val="23"/>
          <w:szCs w:val="23"/>
          <w:lang w:eastAsia="en-US"/>
        </w:rPr>
        <w:t>.</w:t>
      </w:r>
    </w:p>
    <w:p w:rsid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 xml:space="preserve">A discussion of the application of section 9(2)(h) in particular cases can be found in the </w:t>
      </w:r>
      <w:r w:rsidRPr="00802FD9">
        <w:rPr>
          <w:rFonts w:ascii="Arial" w:hAnsi="Arial" w:cs="Arial"/>
          <w:i/>
          <w:snapToGrid w:val="0"/>
          <w:sz w:val="23"/>
          <w:szCs w:val="23"/>
          <w:lang w:eastAsia="en-US"/>
        </w:rPr>
        <w:t>12</w:t>
      </w:r>
      <w:r w:rsidRPr="00802FD9">
        <w:rPr>
          <w:rFonts w:ascii="Arial" w:hAnsi="Arial" w:cs="Arial"/>
          <w:i/>
          <w:snapToGrid w:val="0"/>
          <w:sz w:val="23"/>
          <w:szCs w:val="23"/>
          <w:vertAlign w:val="superscript"/>
          <w:lang w:eastAsia="en-US"/>
        </w:rPr>
        <w:t>th</w:t>
      </w:r>
      <w:r w:rsidRPr="00802FD9">
        <w:rPr>
          <w:rFonts w:ascii="Arial" w:hAnsi="Arial" w:cs="Arial"/>
          <w:i/>
          <w:snapToGrid w:val="0"/>
          <w:sz w:val="23"/>
          <w:szCs w:val="23"/>
          <w:lang w:eastAsia="en-US"/>
        </w:rPr>
        <w:t xml:space="preserve"> Compendium of Case Notes of the Ombudsmen</w:t>
      </w:r>
      <w:r w:rsidRPr="00802FD9">
        <w:rPr>
          <w:rFonts w:ascii="Arial" w:hAnsi="Arial" w:cs="Arial"/>
          <w:snapToGrid w:val="0"/>
          <w:sz w:val="23"/>
          <w:szCs w:val="23"/>
          <w:lang w:eastAsia="en-US"/>
        </w:rPr>
        <w:t>.</w:t>
      </w:r>
      <w:r w:rsidRPr="00802FD9">
        <w:rPr>
          <w:rStyle w:val="FootnoteReference"/>
          <w:rFonts w:ascii="Arial" w:hAnsi="Arial" w:cs="Arial"/>
          <w:sz w:val="23"/>
          <w:szCs w:val="23"/>
        </w:rPr>
        <w:footnoteReference w:id="7"/>
      </w:r>
    </w:p>
    <w:p w:rsidR="00802FD9" w:rsidRPr="00802FD9" w:rsidRDefault="00802FD9" w:rsidP="00802FD9">
      <w:pPr>
        <w:ind w:right="-57"/>
        <w:jc w:val="center"/>
        <w:rPr>
          <w:rFonts w:ascii="Arial" w:hAnsi="Arial" w:cs="Arial"/>
          <w:snapToGrid w:val="0"/>
          <w:sz w:val="23"/>
          <w:szCs w:val="23"/>
          <w:lang w:eastAsia="en-US"/>
        </w:rPr>
        <w:sectPr w:rsidR="00802FD9" w:rsidRPr="00802FD9">
          <w:headerReference w:type="default" r:id="rId13"/>
          <w:pgSz w:w="11906" w:h="16838"/>
          <w:pgMar w:top="1134" w:right="1134" w:bottom="1134" w:left="1701" w:header="567" w:footer="720" w:gutter="0"/>
          <w:cols w:space="720"/>
        </w:sectPr>
      </w:pPr>
    </w:p>
    <w:p w:rsidR="00802FD9" w:rsidRPr="00802FD9" w:rsidRDefault="00802FD9" w:rsidP="00802FD9">
      <w:pPr>
        <w:ind w:right="-57"/>
        <w:jc w:val="center"/>
        <w:rPr>
          <w:rFonts w:ascii="Arial" w:hAnsi="Arial" w:cs="Arial"/>
          <w:snapToGrid w:val="0"/>
          <w:sz w:val="23"/>
          <w:szCs w:val="23"/>
          <w:lang w:eastAsia="en-US"/>
        </w:rPr>
      </w:pPr>
    </w:p>
    <w:p w:rsidR="00802FD9" w:rsidRPr="00802FD9" w:rsidRDefault="00802FD9" w:rsidP="00802FD9">
      <w:pPr>
        <w:ind w:right="-57"/>
        <w:jc w:val="center"/>
        <w:rPr>
          <w:rFonts w:ascii="Arial" w:hAnsi="Arial" w:cs="Arial"/>
          <w:b/>
          <w:snapToGrid w:val="0"/>
          <w:sz w:val="28"/>
          <w:szCs w:val="28"/>
          <w:lang w:eastAsia="en-US"/>
        </w:rPr>
      </w:pPr>
      <w:r w:rsidRPr="00802FD9">
        <w:rPr>
          <w:rFonts w:ascii="Arial" w:hAnsi="Arial" w:cs="Arial"/>
          <w:b/>
          <w:snapToGrid w:val="0"/>
          <w:sz w:val="28"/>
          <w:szCs w:val="28"/>
          <w:lang w:eastAsia="en-US"/>
        </w:rPr>
        <w:t xml:space="preserve">Summary Sheet </w:t>
      </w:r>
    </w:p>
    <w:p w:rsidR="00802FD9" w:rsidRPr="00802FD9" w:rsidRDefault="00802FD9" w:rsidP="00802FD9">
      <w:pPr>
        <w:ind w:right="-57"/>
        <w:jc w:val="center"/>
        <w:rPr>
          <w:rFonts w:ascii="Arial" w:hAnsi="Arial" w:cs="Arial"/>
          <w:b/>
          <w:snapToGrid w:val="0"/>
          <w:sz w:val="28"/>
          <w:szCs w:val="28"/>
          <w:lang w:eastAsia="en-US"/>
        </w:rPr>
      </w:pPr>
      <w:r w:rsidRPr="00802FD9">
        <w:rPr>
          <w:rFonts w:ascii="Arial" w:hAnsi="Arial" w:cs="Arial"/>
          <w:b/>
          <w:snapToGrid w:val="0"/>
          <w:sz w:val="28"/>
          <w:szCs w:val="28"/>
          <w:lang w:eastAsia="en-US"/>
        </w:rPr>
        <w:t>Section 9(2)(h) OIA and Section 7(2)(g) LGOIMA</w:t>
      </w:r>
    </w:p>
    <w:p w:rsidR="00802FD9" w:rsidRPr="00802FD9" w:rsidRDefault="00802FD9" w:rsidP="00802FD9">
      <w:pPr>
        <w:ind w:right="-57"/>
        <w:jc w:val="center"/>
        <w:rPr>
          <w:rFonts w:ascii="Arial" w:hAnsi="Arial" w:cs="Arial"/>
          <w:b/>
          <w:snapToGrid w:val="0"/>
          <w:sz w:val="28"/>
          <w:szCs w:val="28"/>
          <w:lang w:eastAsia="en-US"/>
        </w:rPr>
      </w:pPr>
    </w:p>
    <w:p w:rsidR="00802FD9" w:rsidRPr="00802FD9" w:rsidRDefault="00802FD9" w:rsidP="00802FD9">
      <w:pPr>
        <w:pStyle w:val="Heading3"/>
        <w:rPr>
          <w:rFonts w:ascii="Arial" w:hAnsi="Arial" w:cs="Arial"/>
          <w:szCs w:val="28"/>
        </w:rPr>
      </w:pPr>
      <w:r w:rsidRPr="00802FD9">
        <w:rPr>
          <w:rFonts w:ascii="Arial" w:hAnsi="Arial" w:cs="Arial"/>
          <w:szCs w:val="28"/>
        </w:rPr>
        <w:t>Maintaining Legal Professional Privilege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 xml:space="preserve">Always proceed on the basis that the information requested </w:t>
      </w:r>
      <w:r w:rsidRPr="00802FD9">
        <w:rPr>
          <w:rFonts w:ascii="Arial" w:hAnsi="Arial" w:cs="Arial"/>
          <w:i/>
          <w:snapToGrid w:val="0"/>
          <w:sz w:val="23"/>
          <w:szCs w:val="23"/>
          <w:lang w:eastAsia="en-US"/>
        </w:rPr>
        <w:t>"shall be made available unless there is good reason for withholding it."</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1.</w:t>
      </w:r>
      <w:r w:rsidRPr="00802FD9">
        <w:rPr>
          <w:rFonts w:ascii="Arial" w:hAnsi="Arial" w:cs="Arial"/>
          <w:snapToGrid w:val="0"/>
          <w:sz w:val="23"/>
          <w:szCs w:val="23"/>
          <w:lang w:eastAsia="en-US"/>
        </w:rPr>
        <w:tab/>
        <w:t xml:space="preserve">Is the information at issue covered by legal professional privilege? </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hanging="709"/>
        <w:jc w:val="both"/>
        <w:rPr>
          <w:rFonts w:ascii="Arial" w:hAnsi="Arial" w:cs="Arial"/>
          <w:snapToGrid w:val="0"/>
          <w:sz w:val="23"/>
          <w:szCs w:val="23"/>
          <w:lang w:eastAsia="en-US"/>
        </w:rPr>
      </w:pPr>
      <w:r w:rsidRPr="00802FD9">
        <w:rPr>
          <w:rFonts w:ascii="Arial" w:hAnsi="Arial" w:cs="Arial"/>
          <w:snapToGrid w:val="0"/>
          <w:sz w:val="23"/>
          <w:szCs w:val="23"/>
          <w:lang w:eastAsia="en-US"/>
        </w:rPr>
        <w:t>2.</w:t>
      </w:r>
      <w:r w:rsidRPr="00802FD9">
        <w:rPr>
          <w:rFonts w:ascii="Arial" w:hAnsi="Arial" w:cs="Arial"/>
          <w:snapToGrid w:val="0"/>
          <w:sz w:val="23"/>
          <w:szCs w:val="23"/>
          <w:lang w:eastAsia="en-US"/>
        </w:rPr>
        <w:tab/>
        <w:t xml:space="preserve">Is it </w:t>
      </w:r>
      <w:r w:rsidRPr="00802FD9">
        <w:rPr>
          <w:rFonts w:ascii="Arial" w:hAnsi="Arial" w:cs="Arial"/>
          <w:i/>
          <w:snapToGrid w:val="0"/>
          <w:sz w:val="23"/>
          <w:szCs w:val="23"/>
          <w:lang w:eastAsia="en-US"/>
        </w:rPr>
        <w:t>"necessary"</w:t>
      </w:r>
      <w:r w:rsidRPr="00802FD9">
        <w:rPr>
          <w:rFonts w:ascii="Arial" w:hAnsi="Arial" w:cs="Arial"/>
          <w:snapToGrid w:val="0"/>
          <w:sz w:val="23"/>
          <w:szCs w:val="23"/>
          <w:lang w:eastAsia="en-US"/>
        </w:rPr>
        <w:t xml:space="preserve"> to withhold that information to </w:t>
      </w:r>
      <w:r w:rsidRPr="00802FD9">
        <w:rPr>
          <w:rFonts w:ascii="Arial" w:hAnsi="Arial" w:cs="Arial"/>
          <w:i/>
          <w:snapToGrid w:val="0"/>
          <w:sz w:val="23"/>
          <w:szCs w:val="23"/>
          <w:lang w:eastAsia="en-US"/>
        </w:rPr>
        <w:t>"maintain"</w:t>
      </w:r>
      <w:r w:rsidRPr="00802FD9">
        <w:rPr>
          <w:rFonts w:ascii="Arial" w:hAnsi="Arial" w:cs="Arial"/>
          <w:snapToGrid w:val="0"/>
          <w:sz w:val="23"/>
          <w:szCs w:val="23"/>
          <w:lang w:eastAsia="en-US"/>
        </w:rPr>
        <w:t xml:space="preserve"> legal professional privilege?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pStyle w:val="BodyText2"/>
        <w:rPr>
          <w:rFonts w:ascii="Arial" w:hAnsi="Arial" w:cs="Arial"/>
          <w:snapToGrid/>
          <w:sz w:val="23"/>
          <w:szCs w:val="23"/>
        </w:rPr>
      </w:pPr>
      <w:r w:rsidRPr="00802FD9">
        <w:rPr>
          <w:rFonts w:ascii="Arial" w:hAnsi="Arial" w:cs="Arial"/>
          <w:snapToGrid/>
          <w:sz w:val="23"/>
          <w:szCs w:val="23"/>
        </w:rPr>
        <w:t>If you have answered "yes" to questions 1 and 2 above, section 9(2)(h) may apply.  You should then consider the application of section 9(1) and decide whether, in the circumstances of the particular case, the withholding of the information is outweighed by other considerations which render it desirable, in the public interest, to make the information available.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snapToGrid w:val="0"/>
          <w:sz w:val="23"/>
          <w:szCs w:val="23"/>
          <w:lang w:eastAsia="en-US"/>
        </w:rPr>
      </w:pPr>
      <w:r w:rsidRPr="00802FD9">
        <w:rPr>
          <w:rFonts w:ascii="Arial" w:hAnsi="Arial" w:cs="Arial"/>
          <w:snapToGrid w:val="0"/>
          <w:sz w:val="23"/>
          <w:szCs w:val="23"/>
          <w:lang w:eastAsia="en-US"/>
        </w:rPr>
        <w:t>3.</w:t>
      </w:r>
      <w:r w:rsidRPr="00802FD9">
        <w:rPr>
          <w:rFonts w:ascii="Arial" w:hAnsi="Arial" w:cs="Arial"/>
          <w:snapToGrid w:val="0"/>
          <w:sz w:val="23"/>
          <w:szCs w:val="23"/>
          <w:lang w:eastAsia="en-US"/>
        </w:rPr>
        <w:tab/>
        <w:t>Identify any considerations favouring disclosure of the information.</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hanging="709"/>
        <w:jc w:val="both"/>
        <w:rPr>
          <w:rFonts w:ascii="Arial" w:hAnsi="Arial" w:cs="Arial"/>
          <w:snapToGrid w:val="0"/>
          <w:sz w:val="23"/>
          <w:szCs w:val="23"/>
          <w:lang w:eastAsia="en-US"/>
        </w:rPr>
      </w:pPr>
      <w:r w:rsidRPr="00802FD9">
        <w:rPr>
          <w:rFonts w:ascii="Arial" w:hAnsi="Arial" w:cs="Arial"/>
          <w:snapToGrid w:val="0"/>
          <w:sz w:val="23"/>
          <w:szCs w:val="23"/>
          <w:lang w:eastAsia="en-US"/>
        </w:rPr>
        <w:t>4.</w:t>
      </w:r>
      <w:r w:rsidRPr="00802FD9">
        <w:rPr>
          <w:rFonts w:ascii="Arial" w:hAnsi="Arial" w:cs="Arial"/>
          <w:snapToGrid w:val="0"/>
          <w:sz w:val="23"/>
          <w:szCs w:val="23"/>
          <w:lang w:eastAsia="en-US"/>
        </w:rPr>
        <w:tab/>
        <w:t>In light of such considerations, is there a public interest in disclosure of the specific information requested.</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left="709" w:right="-57" w:hanging="709"/>
        <w:jc w:val="both"/>
        <w:rPr>
          <w:rFonts w:ascii="Arial" w:hAnsi="Arial" w:cs="Arial"/>
          <w:snapToGrid w:val="0"/>
          <w:sz w:val="23"/>
          <w:szCs w:val="23"/>
          <w:lang w:eastAsia="en-US"/>
        </w:rPr>
      </w:pPr>
      <w:r w:rsidRPr="00802FD9">
        <w:rPr>
          <w:rFonts w:ascii="Arial" w:hAnsi="Arial" w:cs="Arial"/>
          <w:snapToGrid w:val="0"/>
          <w:sz w:val="23"/>
          <w:szCs w:val="23"/>
          <w:lang w:eastAsia="en-US"/>
        </w:rPr>
        <w:t>5.</w:t>
      </w:r>
      <w:r w:rsidRPr="00802FD9">
        <w:rPr>
          <w:rFonts w:ascii="Arial" w:hAnsi="Arial" w:cs="Arial"/>
          <w:snapToGrid w:val="0"/>
          <w:sz w:val="23"/>
          <w:szCs w:val="23"/>
          <w:lang w:eastAsia="en-US"/>
        </w:rPr>
        <w:tab/>
        <w:t>Consider whether, in the circumstances of the particular case, the public interest in disclosure of the information, in whole or in part, outweighs the need to withhold the information to maintain legal professional privilege.</w:t>
      </w:r>
    </w:p>
    <w:p w:rsidR="00802FD9" w:rsidRPr="00802FD9" w:rsidRDefault="00802FD9" w:rsidP="00802FD9">
      <w:pPr>
        <w:ind w:right="-57"/>
        <w:jc w:val="both"/>
        <w:rPr>
          <w:rFonts w:ascii="Arial" w:hAnsi="Arial" w:cs="Arial"/>
          <w:snapToGrid w:val="0"/>
          <w:sz w:val="23"/>
          <w:szCs w:val="23"/>
          <w:lang w:eastAsia="en-US"/>
        </w:rPr>
      </w:pPr>
    </w:p>
    <w:p w:rsidR="00802FD9" w:rsidRPr="00802FD9" w:rsidRDefault="00802FD9" w:rsidP="00802FD9">
      <w:pPr>
        <w:ind w:right="-57"/>
        <w:jc w:val="both"/>
        <w:rPr>
          <w:rFonts w:ascii="Arial" w:hAnsi="Arial" w:cs="Arial"/>
          <w:i/>
          <w:snapToGrid w:val="0"/>
          <w:sz w:val="23"/>
          <w:szCs w:val="23"/>
          <w:lang w:eastAsia="en-US"/>
        </w:rPr>
      </w:pPr>
      <w:r w:rsidRPr="00802FD9">
        <w:rPr>
          <w:rFonts w:ascii="Arial" w:hAnsi="Arial" w:cs="Arial"/>
          <w:i/>
          <w:snapToGrid w:val="0"/>
          <w:sz w:val="23"/>
          <w:szCs w:val="23"/>
          <w:lang w:eastAsia="en-US"/>
        </w:rPr>
        <w:t>If so, release sufficient information to meet the public interest in disclosure.</w:t>
      </w:r>
    </w:p>
    <w:p w:rsidR="00802FD9" w:rsidRPr="00802FD9" w:rsidRDefault="00802FD9" w:rsidP="00802FD9">
      <w:pPr>
        <w:ind w:right="-57"/>
        <w:jc w:val="both"/>
        <w:rPr>
          <w:rFonts w:ascii="Arial" w:hAnsi="Arial" w:cs="Arial"/>
          <w:i/>
          <w:snapToGrid w:val="0"/>
          <w:sz w:val="23"/>
          <w:szCs w:val="23"/>
          <w:lang w:eastAsia="en-US"/>
        </w:rPr>
      </w:pPr>
    </w:p>
    <w:p w:rsidR="00802FD9" w:rsidRPr="00802FD9" w:rsidRDefault="00802FD9" w:rsidP="00802FD9">
      <w:pPr>
        <w:ind w:right="-57"/>
        <w:jc w:val="both"/>
        <w:rPr>
          <w:rFonts w:ascii="Arial" w:hAnsi="Arial" w:cs="Arial"/>
          <w:i/>
          <w:snapToGrid w:val="0"/>
          <w:sz w:val="23"/>
          <w:szCs w:val="23"/>
          <w:lang w:eastAsia="en-US"/>
        </w:rPr>
      </w:pPr>
      <w:r w:rsidRPr="00802FD9">
        <w:rPr>
          <w:rFonts w:ascii="Arial" w:hAnsi="Arial" w:cs="Arial"/>
          <w:i/>
          <w:snapToGrid w:val="0"/>
          <w:sz w:val="23"/>
          <w:szCs w:val="23"/>
          <w:lang w:eastAsia="en-US"/>
        </w:rPr>
        <w:t>If not, advise the requester of the decision to withhold.</w:t>
      </w:r>
    </w:p>
    <w:p w:rsidR="00802FD9" w:rsidRPr="00802FD9" w:rsidRDefault="00802FD9" w:rsidP="00802FD9">
      <w:pPr>
        <w:ind w:right="-57"/>
        <w:jc w:val="both"/>
        <w:rPr>
          <w:rFonts w:ascii="Arial" w:hAnsi="Arial" w:cs="Arial"/>
          <w:snapToGrid w:val="0"/>
          <w:sz w:val="23"/>
          <w:szCs w:val="23"/>
          <w:lang w:eastAsia="en-US"/>
        </w:rPr>
      </w:pPr>
    </w:p>
    <w:p w:rsidR="00D3410D" w:rsidRPr="00802FD9" w:rsidRDefault="00D3410D" w:rsidP="00E50CBC">
      <w:pPr>
        <w:jc w:val="both"/>
        <w:rPr>
          <w:rFonts w:ascii="Arial" w:hAnsi="Arial" w:cs="Arial"/>
          <w:sz w:val="23"/>
          <w:szCs w:val="23"/>
        </w:rPr>
      </w:pPr>
    </w:p>
    <w:sectPr w:rsidR="00D3410D" w:rsidRPr="00802FD9" w:rsidSect="003B14F4">
      <w:headerReference w:type="default" r:id="rId14"/>
      <w:pgSz w:w="11906" w:h="16838"/>
      <w:pgMar w:top="1134" w:right="1418" w:bottom="1134" w:left="1418" w:header="567"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A7" w:rsidRDefault="00C56BA7">
      <w:r>
        <w:separator/>
      </w:r>
    </w:p>
  </w:endnote>
  <w:endnote w:type="continuationSeparator" w:id="0">
    <w:p w:rsidR="00C56BA7" w:rsidRDefault="00C5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24" w:rsidRDefault="00B46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24" w:rsidRDefault="00B46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24" w:rsidRDefault="00B4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A7" w:rsidRDefault="00C56BA7">
      <w:r>
        <w:separator/>
      </w:r>
    </w:p>
  </w:footnote>
  <w:footnote w:type="continuationSeparator" w:id="0">
    <w:p w:rsidR="00C56BA7" w:rsidRDefault="00C56BA7">
      <w:r>
        <w:continuationSeparator/>
      </w:r>
    </w:p>
  </w:footnote>
  <w:footnote w:id="1">
    <w:p w:rsidR="00802FD9" w:rsidRPr="00802FD9" w:rsidRDefault="00802FD9" w:rsidP="00802FD9">
      <w:pPr>
        <w:pStyle w:val="FootnoteText"/>
        <w:rPr>
          <w:rFonts w:ascii="Arial" w:hAnsi="Arial" w:cs="Arial"/>
          <w:sz w:val="18"/>
        </w:rPr>
      </w:pPr>
      <w:r w:rsidRPr="00802FD9">
        <w:rPr>
          <w:rStyle w:val="FootnoteReference"/>
          <w:rFonts w:ascii="Arial" w:hAnsi="Arial" w:cs="Arial"/>
          <w:sz w:val="18"/>
        </w:rPr>
        <w:footnoteRef/>
      </w:r>
      <w:r w:rsidRPr="00802FD9">
        <w:rPr>
          <w:rFonts w:ascii="Arial" w:hAnsi="Arial" w:cs="Arial"/>
          <w:sz w:val="18"/>
        </w:rPr>
        <w:t xml:space="preserve"> </w:t>
      </w:r>
      <w:smartTag w:uri="urn:schemas-microsoft-com:office:smarttags" w:element="City">
        <w:smartTag w:uri="urn:schemas-microsoft-com:office:smarttags" w:element="place">
          <w:r w:rsidRPr="00802FD9">
            <w:rPr>
              <w:rFonts w:ascii="Arial" w:hAnsi="Arial" w:cs="Arial"/>
              <w:i/>
              <w:sz w:val="18"/>
            </w:rPr>
            <w:t>Rosenberg</w:t>
          </w:r>
        </w:smartTag>
      </w:smartTag>
      <w:r w:rsidRPr="00802FD9">
        <w:rPr>
          <w:rFonts w:ascii="Arial" w:hAnsi="Arial" w:cs="Arial"/>
          <w:sz w:val="18"/>
        </w:rPr>
        <w:t xml:space="preserve"> v </w:t>
      </w:r>
      <w:r w:rsidRPr="00802FD9">
        <w:rPr>
          <w:rFonts w:ascii="Arial" w:hAnsi="Arial" w:cs="Arial"/>
          <w:i/>
          <w:sz w:val="18"/>
        </w:rPr>
        <w:t>Jaine</w:t>
      </w:r>
      <w:r w:rsidRPr="00802FD9">
        <w:rPr>
          <w:rFonts w:ascii="Arial" w:hAnsi="Arial" w:cs="Arial"/>
          <w:sz w:val="18"/>
        </w:rPr>
        <w:t xml:space="preserve"> [1983] NZLR 1</w:t>
      </w:r>
    </w:p>
  </w:footnote>
  <w:footnote w:id="2">
    <w:p w:rsidR="00802FD9" w:rsidRPr="00802FD9" w:rsidRDefault="00802FD9" w:rsidP="00802FD9">
      <w:pPr>
        <w:pStyle w:val="FootnoteText"/>
        <w:rPr>
          <w:rFonts w:ascii="Arial" w:hAnsi="Arial" w:cs="Arial"/>
        </w:rPr>
      </w:pPr>
      <w:r w:rsidRPr="00802FD9">
        <w:rPr>
          <w:rStyle w:val="FootnoteReference"/>
          <w:rFonts w:ascii="Arial" w:hAnsi="Arial" w:cs="Arial"/>
        </w:rPr>
        <w:footnoteRef/>
      </w:r>
      <w:r w:rsidRPr="00802FD9">
        <w:rPr>
          <w:rFonts w:ascii="Arial" w:hAnsi="Arial" w:cs="Arial"/>
        </w:rPr>
        <w:t xml:space="preserve"> Section 7(2)(g) LGOIMA</w:t>
      </w:r>
    </w:p>
  </w:footnote>
  <w:footnote w:id="3">
    <w:p w:rsidR="00802FD9" w:rsidRPr="00802FD9" w:rsidRDefault="00802FD9" w:rsidP="00802FD9">
      <w:pPr>
        <w:pStyle w:val="FootnoteText"/>
        <w:rPr>
          <w:rFonts w:ascii="Arial" w:hAnsi="Arial" w:cs="Arial"/>
        </w:rPr>
      </w:pPr>
      <w:r w:rsidRPr="00802FD9">
        <w:rPr>
          <w:rStyle w:val="FootnoteReference"/>
          <w:rFonts w:ascii="Arial" w:hAnsi="Arial" w:cs="Arial"/>
          <w:sz w:val="18"/>
        </w:rPr>
        <w:footnoteRef/>
      </w:r>
      <w:r w:rsidRPr="00802FD9">
        <w:rPr>
          <w:rFonts w:ascii="Arial" w:hAnsi="Arial" w:cs="Arial"/>
          <w:sz w:val="18"/>
        </w:rPr>
        <w:t xml:space="preserve"> Section 9(1) OIA, section 7(1) LGOIMA</w:t>
      </w:r>
    </w:p>
  </w:footnote>
  <w:footnote w:id="4">
    <w:p w:rsidR="00802FD9" w:rsidRPr="00802FD9" w:rsidRDefault="00802FD9" w:rsidP="00802FD9">
      <w:pPr>
        <w:pStyle w:val="FootnoteText"/>
        <w:rPr>
          <w:rFonts w:ascii="Arial" w:hAnsi="Arial" w:cs="Arial"/>
          <w:sz w:val="18"/>
        </w:rPr>
      </w:pPr>
      <w:r w:rsidRPr="00802FD9">
        <w:rPr>
          <w:rStyle w:val="FootnoteReference"/>
          <w:rFonts w:ascii="Arial" w:hAnsi="Arial" w:cs="Arial"/>
          <w:sz w:val="18"/>
        </w:rPr>
        <w:footnoteRef/>
      </w:r>
      <w:r w:rsidRPr="00802FD9">
        <w:rPr>
          <w:rFonts w:ascii="Arial" w:hAnsi="Arial" w:cs="Arial"/>
          <w:sz w:val="18"/>
        </w:rPr>
        <w:t xml:space="preserve"> [1993] 1 NZLR 152, 158</w:t>
      </w:r>
    </w:p>
  </w:footnote>
  <w:footnote w:id="5">
    <w:p w:rsidR="00802FD9" w:rsidRDefault="00802FD9" w:rsidP="00802FD9">
      <w:pPr>
        <w:pStyle w:val="FootnoteText"/>
        <w:rPr>
          <w:rFonts w:ascii="Book Antiqua" w:hAnsi="Book Antiqua"/>
          <w:sz w:val="18"/>
        </w:rPr>
      </w:pPr>
      <w:r w:rsidRPr="00802FD9">
        <w:rPr>
          <w:rStyle w:val="FootnoteReference"/>
          <w:rFonts w:ascii="Arial" w:hAnsi="Arial" w:cs="Arial"/>
          <w:sz w:val="18"/>
        </w:rPr>
        <w:footnoteRef/>
      </w:r>
      <w:r w:rsidRPr="00802FD9">
        <w:rPr>
          <w:rFonts w:ascii="Arial" w:hAnsi="Arial" w:cs="Arial"/>
          <w:sz w:val="18"/>
        </w:rPr>
        <w:t xml:space="preserve"> (2000) 161-163</w:t>
      </w:r>
    </w:p>
  </w:footnote>
  <w:footnote w:id="6">
    <w:p w:rsidR="00802FD9" w:rsidRPr="00802FD9" w:rsidRDefault="00802FD9" w:rsidP="00802FD9">
      <w:pPr>
        <w:pStyle w:val="FootnoteText"/>
        <w:rPr>
          <w:rFonts w:ascii="Arial" w:hAnsi="Arial" w:cs="Arial"/>
          <w:sz w:val="18"/>
        </w:rPr>
      </w:pPr>
      <w:r w:rsidRPr="00802FD9">
        <w:rPr>
          <w:rStyle w:val="FootnoteReference"/>
          <w:rFonts w:ascii="Arial" w:hAnsi="Arial" w:cs="Arial"/>
          <w:i/>
          <w:sz w:val="18"/>
        </w:rPr>
        <w:footnoteRef/>
      </w:r>
      <w:r w:rsidRPr="00802FD9">
        <w:rPr>
          <w:rFonts w:ascii="Arial" w:hAnsi="Arial" w:cs="Arial"/>
          <w:i/>
          <w:sz w:val="18"/>
        </w:rPr>
        <w:t xml:space="preserve"> Beecroft</w:t>
      </w:r>
      <w:r w:rsidRPr="00802FD9">
        <w:rPr>
          <w:rFonts w:ascii="Arial" w:hAnsi="Arial" w:cs="Arial"/>
          <w:sz w:val="18"/>
        </w:rPr>
        <w:t xml:space="preserve"> v </w:t>
      </w:r>
      <w:r w:rsidRPr="00802FD9">
        <w:rPr>
          <w:rFonts w:ascii="Arial" w:hAnsi="Arial" w:cs="Arial"/>
          <w:i/>
          <w:sz w:val="18"/>
        </w:rPr>
        <w:t>Auckland District Court</w:t>
      </w:r>
      <w:r w:rsidRPr="00802FD9">
        <w:rPr>
          <w:rFonts w:ascii="Arial" w:hAnsi="Arial" w:cs="Arial"/>
          <w:sz w:val="18"/>
        </w:rPr>
        <w:t xml:space="preserve"> [1999] 3 NZLR 672, 677</w:t>
      </w:r>
    </w:p>
  </w:footnote>
  <w:footnote w:id="7">
    <w:p w:rsidR="00802FD9" w:rsidRPr="00802FD9" w:rsidRDefault="00802FD9" w:rsidP="00802FD9">
      <w:pPr>
        <w:pStyle w:val="FootnoteText"/>
        <w:rPr>
          <w:rFonts w:ascii="Arial" w:hAnsi="Arial" w:cs="Arial"/>
        </w:rPr>
      </w:pPr>
      <w:r w:rsidRPr="00802FD9">
        <w:rPr>
          <w:rStyle w:val="FootnoteReference"/>
          <w:rFonts w:ascii="Arial" w:hAnsi="Arial" w:cs="Arial"/>
          <w:sz w:val="18"/>
        </w:rPr>
        <w:footnoteRef/>
      </w:r>
      <w:r w:rsidRPr="00802FD9">
        <w:rPr>
          <w:rFonts w:ascii="Arial" w:hAnsi="Arial" w:cs="Arial"/>
          <w:sz w:val="18"/>
        </w:rPr>
        <w:t xml:space="preserve"> (2000) 156-163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24" w:rsidRDefault="00B46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24" w:rsidRDefault="00B46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24" w:rsidRDefault="00B465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D9" w:rsidRPr="00802FD9" w:rsidRDefault="00802FD9">
    <w:pPr>
      <w:pStyle w:val="Header"/>
      <w:pBdr>
        <w:bottom w:val="single" w:sz="4" w:space="1" w:color="auto"/>
      </w:pBdr>
      <w:tabs>
        <w:tab w:val="clear" w:pos="4153"/>
        <w:tab w:val="clear" w:pos="8306"/>
        <w:tab w:val="right" w:pos="8789"/>
      </w:tabs>
      <w:rPr>
        <w:rFonts w:ascii="Arial" w:hAnsi="Arial" w:cs="Arial"/>
        <w:lang w:val="en-US"/>
      </w:rPr>
    </w:pPr>
    <w:r w:rsidRPr="00802FD9">
      <w:rPr>
        <w:rFonts w:ascii="Arial" w:hAnsi="Arial" w:cs="Arial"/>
        <w:lang w:val="en-US"/>
      </w:rPr>
      <w:t xml:space="preserve">Part </w:t>
    </w:r>
    <w:r w:rsidR="0080481A">
      <w:rPr>
        <w:rFonts w:ascii="Arial" w:hAnsi="Arial" w:cs="Arial"/>
        <w:lang w:val="en-US"/>
      </w:rPr>
      <w:t>2C, Legal professional privilege</w:t>
    </w:r>
    <w:r w:rsidRPr="00802FD9">
      <w:rPr>
        <w:rFonts w:ascii="Arial" w:hAnsi="Arial" w:cs="Arial"/>
        <w:snapToGrid w:val="0"/>
        <w:lang w:val="en-US" w:eastAsia="en-US"/>
      </w:rPr>
      <w:tab/>
      <w:t xml:space="preserve">- </w:t>
    </w:r>
    <w:r w:rsidR="003B14F4" w:rsidRPr="00802FD9">
      <w:rPr>
        <w:rFonts w:ascii="Arial" w:hAnsi="Arial" w:cs="Arial"/>
        <w:snapToGrid w:val="0"/>
        <w:lang w:val="en-US" w:eastAsia="en-US"/>
      </w:rPr>
      <w:fldChar w:fldCharType="begin"/>
    </w:r>
    <w:r w:rsidRPr="00802FD9">
      <w:rPr>
        <w:rFonts w:ascii="Arial" w:hAnsi="Arial" w:cs="Arial"/>
        <w:snapToGrid w:val="0"/>
        <w:lang w:val="en-US" w:eastAsia="en-US"/>
      </w:rPr>
      <w:instrText xml:space="preserve"> PAGE </w:instrText>
    </w:r>
    <w:r w:rsidR="003B14F4" w:rsidRPr="00802FD9">
      <w:rPr>
        <w:rFonts w:ascii="Arial" w:hAnsi="Arial" w:cs="Arial"/>
        <w:snapToGrid w:val="0"/>
        <w:lang w:val="en-US" w:eastAsia="en-US"/>
      </w:rPr>
      <w:fldChar w:fldCharType="separate"/>
    </w:r>
    <w:r w:rsidR="00B46524">
      <w:rPr>
        <w:rFonts w:ascii="Arial" w:hAnsi="Arial" w:cs="Arial"/>
        <w:noProof/>
        <w:snapToGrid w:val="0"/>
        <w:lang w:val="en-US" w:eastAsia="en-US"/>
      </w:rPr>
      <w:t>2</w:t>
    </w:r>
    <w:r w:rsidR="003B14F4" w:rsidRPr="00802FD9">
      <w:rPr>
        <w:rFonts w:ascii="Arial" w:hAnsi="Arial" w:cs="Arial"/>
        <w:snapToGrid w:val="0"/>
        <w:lang w:val="en-US" w:eastAsia="en-US"/>
      </w:rPr>
      <w:fldChar w:fldCharType="end"/>
    </w:r>
    <w:r w:rsidRPr="00802FD9">
      <w:rPr>
        <w:rFonts w:ascii="Arial" w:hAnsi="Arial" w:cs="Arial"/>
        <w:snapToGrid w:val="0"/>
        <w:lang w:val="en-US" w:eastAsia="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CB" w:rsidRDefault="00E9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9E5"/>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1" w15:restartNumberingAfterBreak="0">
    <w:nsid w:val="4E7809CE"/>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abstractNum w:abstractNumId="2" w15:restartNumberingAfterBreak="0">
    <w:nsid w:val="7358460E"/>
    <w:multiLevelType w:val="singleLevel"/>
    <w:tmpl w:val="695C8AE4"/>
    <w:lvl w:ilvl="0">
      <w:start w:val="1"/>
      <w:numFmt w:val="bullet"/>
      <w:lvlText w:val=""/>
      <w:lvlJc w:val="left"/>
      <w:pPr>
        <w:tabs>
          <w:tab w:val="num" w:pos="680"/>
        </w:tabs>
        <w:ind w:left="680" w:hanging="680"/>
      </w:pPr>
      <w:rPr>
        <w:rFonts w:ascii="Wingdings" w:hAnsi="Wingdings"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D9"/>
    <w:rsid w:val="003B14F4"/>
    <w:rsid w:val="00802FD9"/>
    <w:rsid w:val="0080481A"/>
    <w:rsid w:val="00B46524"/>
    <w:rsid w:val="00C56BA7"/>
    <w:rsid w:val="00CF0602"/>
    <w:rsid w:val="00D3410D"/>
    <w:rsid w:val="00E50CBC"/>
    <w:rsid w:val="00E932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D9"/>
    <w:rPr>
      <w:lang w:val="en-AU"/>
    </w:rPr>
  </w:style>
  <w:style w:type="paragraph" w:styleId="Heading1">
    <w:name w:val="heading 1"/>
    <w:basedOn w:val="Normal"/>
    <w:next w:val="Normal"/>
    <w:qFormat/>
    <w:rsid w:val="00802FD9"/>
    <w:pPr>
      <w:keepNext/>
      <w:ind w:right="-57"/>
      <w:jc w:val="both"/>
      <w:outlineLvl w:val="0"/>
    </w:pPr>
    <w:rPr>
      <w:rFonts w:ascii="Book Antiqua" w:hAnsi="Book Antiqua"/>
      <w:b/>
      <w:snapToGrid w:val="0"/>
      <w:sz w:val="24"/>
      <w:lang w:eastAsia="en-US"/>
    </w:rPr>
  </w:style>
  <w:style w:type="paragraph" w:styleId="Heading2">
    <w:name w:val="heading 2"/>
    <w:basedOn w:val="Normal"/>
    <w:next w:val="Normal"/>
    <w:qFormat/>
    <w:rsid w:val="00802FD9"/>
    <w:pPr>
      <w:keepNext/>
      <w:ind w:right="-57"/>
      <w:jc w:val="both"/>
      <w:outlineLvl w:val="1"/>
    </w:pPr>
    <w:rPr>
      <w:rFonts w:ascii="Book Antiqua" w:hAnsi="Book Antiqua"/>
      <w:b/>
      <w:snapToGrid w:val="0"/>
      <w:sz w:val="28"/>
      <w:lang w:eastAsia="en-US"/>
    </w:rPr>
  </w:style>
  <w:style w:type="paragraph" w:styleId="Heading3">
    <w:name w:val="heading 3"/>
    <w:basedOn w:val="Normal"/>
    <w:next w:val="Normal"/>
    <w:qFormat/>
    <w:rsid w:val="00802FD9"/>
    <w:pPr>
      <w:keepNext/>
      <w:ind w:right="-57"/>
      <w:jc w:val="center"/>
      <w:outlineLvl w:val="2"/>
    </w:pPr>
    <w:rPr>
      <w:rFonts w:ascii="Book Antiqua" w:hAnsi="Book Antiqua"/>
      <w:b/>
      <w:snapToGrid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02FD9"/>
  </w:style>
  <w:style w:type="character" w:styleId="FootnoteReference">
    <w:name w:val="footnote reference"/>
    <w:basedOn w:val="DefaultParagraphFont"/>
    <w:semiHidden/>
    <w:rsid w:val="00802FD9"/>
    <w:rPr>
      <w:vertAlign w:val="superscript"/>
    </w:rPr>
  </w:style>
  <w:style w:type="paragraph" w:styleId="BodyText">
    <w:name w:val="Body Text"/>
    <w:basedOn w:val="Normal"/>
    <w:rsid w:val="00802FD9"/>
    <w:pPr>
      <w:ind w:right="-57"/>
      <w:jc w:val="both"/>
    </w:pPr>
    <w:rPr>
      <w:rFonts w:ascii="Book Antiqua" w:hAnsi="Book Antiqua"/>
      <w:b/>
      <w:snapToGrid w:val="0"/>
      <w:sz w:val="24"/>
      <w:lang w:eastAsia="en-US"/>
    </w:rPr>
  </w:style>
  <w:style w:type="paragraph" w:styleId="BlockText">
    <w:name w:val="Block Text"/>
    <w:basedOn w:val="Normal"/>
    <w:rsid w:val="00802FD9"/>
    <w:pPr>
      <w:ind w:left="709" w:right="-57"/>
      <w:jc w:val="both"/>
    </w:pPr>
    <w:rPr>
      <w:rFonts w:ascii="Book Antiqua" w:hAnsi="Book Antiqua"/>
      <w:snapToGrid w:val="0"/>
      <w:sz w:val="24"/>
      <w:lang w:eastAsia="en-US"/>
    </w:rPr>
  </w:style>
  <w:style w:type="paragraph" w:styleId="BodyText2">
    <w:name w:val="Body Text 2"/>
    <w:basedOn w:val="Normal"/>
    <w:rsid w:val="00802FD9"/>
    <w:pPr>
      <w:ind w:right="-57"/>
      <w:jc w:val="both"/>
    </w:pPr>
    <w:rPr>
      <w:rFonts w:ascii="Book Antiqua" w:hAnsi="Book Antiqua"/>
      <w:i/>
      <w:snapToGrid w:val="0"/>
      <w:sz w:val="24"/>
      <w:lang w:eastAsia="en-US"/>
    </w:rPr>
  </w:style>
  <w:style w:type="paragraph" w:styleId="Header">
    <w:name w:val="header"/>
    <w:basedOn w:val="Normal"/>
    <w:rsid w:val="00802FD9"/>
    <w:pPr>
      <w:tabs>
        <w:tab w:val="center" w:pos="4153"/>
        <w:tab w:val="right" w:pos="8306"/>
      </w:tabs>
    </w:pPr>
  </w:style>
  <w:style w:type="paragraph" w:styleId="Footer">
    <w:name w:val="footer"/>
    <w:basedOn w:val="Normal"/>
    <w:rsid w:val="00802FD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2022-02-03T03:13:00Z</dcterms:created>
  <dcterms:modified xsi:type="dcterms:W3CDTF">2022-02-03T03:13:00Z</dcterms:modified>
</cp:coreProperties>
</file>