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220D" w14:textId="77777777"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14:paraId="69F745A0" w14:textId="77777777" w:rsidTr="00F05A98">
        <w:trPr>
          <w:trHeight w:hRule="exact" w:val="3314"/>
        </w:trPr>
        <w:tc>
          <w:tcPr>
            <w:tcW w:w="9299" w:type="dxa"/>
            <w:tcMar>
              <w:top w:w="794" w:type="dxa"/>
            </w:tcMar>
            <w:vAlign w:val="bottom"/>
          </w:tcPr>
          <w:p w14:paraId="21342EE2" w14:textId="0C3FEFDA" w:rsidR="00166C30" w:rsidRPr="000E36A8" w:rsidRDefault="00285DBD" w:rsidP="0023386F">
            <w:pPr>
              <w:pStyle w:val="Title"/>
            </w:pPr>
            <w:r>
              <w:t>Lack of review mechanism for</w:t>
            </w:r>
            <w:r w:rsidR="005B0D52">
              <w:t xml:space="preserve"> </w:t>
            </w:r>
            <w:r w:rsidR="00F05A98">
              <w:t>community participation services</w:t>
            </w:r>
            <w:r w:rsidR="005B0D52">
              <w:t xml:space="preserve"> funding</w:t>
            </w:r>
            <w:r w:rsidR="00F05A98">
              <w:t xml:space="preserve"> </w:t>
            </w:r>
            <w:r w:rsidR="005B0D52">
              <w:t>unreasonable</w:t>
            </w:r>
            <w:r>
              <w:t xml:space="preserve"> </w:t>
            </w:r>
          </w:p>
        </w:tc>
      </w:tr>
      <w:tr w:rsidR="00C87D78" w14:paraId="311942EC" w14:textId="77777777" w:rsidTr="004B6DF7">
        <w:trPr>
          <w:trHeight w:hRule="exact" w:val="340"/>
        </w:trPr>
        <w:tc>
          <w:tcPr>
            <w:tcW w:w="9299" w:type="dxa"/>
            <w:vAlign w:val="bottom"/>
          </w:tcPr>
          <w:p w14:paraId="4E370DCD" w14:textId="77777777" w:rsidR="00C87D78" w:rsidRDefault="00C87D78" w:rsidP="00C731DE"/>
        </w:tc>
      </w:tr>
      <w:tr w:rsidR="00F417FD" w14:paraId="0BFB31A2" w14:textId="77777777" w:rsidTr="004B6DF7">
        <w:trPr>
          <w:trHeight w:val="2098"/>
        </w:trPr>
        <w:tc>
          <w:tcPr>
            <w:tcW w:w="9299" w:type="dxa"/>
          </w:tcPr>
          <w:p w14:paraId="31291C38" w14:textId="77777777" w:rsidR="00F417FD" w:rsidRPr="00971749" w:rsidRDefault="00F417FD" w:rsidP="00971749">
            <w:pPr>
              <w:pStyle w:val="Heading1-Subnonboldtext"/>
            </w:pPr>
            <w:r w:rsidRPr="00971749">
              <w:rPr>
                <w:rStyle w:val="Heading1-Sub"/>
              </w:rPr>
              <w:t>Legislation</w:t>
            </w:r>
            <w:r w:rsidRPr="00971749">
              <w:tab/>
            </w:r>
            <w:r w:rsidR="00F05A98">
              <w:t>Ombudsmen Act 1975</w:t>
            </w:r>
          </w:p>
          <w:p w14:paraId="112C6AEF" w14:textId="77777777" w:rsidR="00F417FD" w:rsidRPr="00971749" w:rsidRDefault="00F417FD" w:rsidP="00971749">
            <w:pPr>
              <w:pStyle w:val="Heading1-Subnonboldtext"/>
            </w:pPr>
            <w:r w:rsidRPr="00971749">
              <w:rPr>
                <w:rStyle w:val="Heading1-Sub"/>
              </w:rPr>
              <w:t>Agency</w:t>
            </w:r>
            <w:r w:rsidRPr="00971749">
              <w:tab/>
            </w:r>
            <w:r w:rsidR="00F05A98">
              <w:t>Ministry for Social Development</w:t>
            </w:r>
          </w:p>
          <w:p w14:paraId="700F1D73" w14:textId="77777777" w:rsidR="00F417FD" w:rsidRPr="00971749" w:rsidRDefault="00F417FD" w:rsidP="00971749">
            <w:pPr>
              <w:pStyle w:val="Heading1-Subnonboldtext"/>
            </w:pPr>
            <w:r w:rsidRPr="00971749">
              <w:rPr>
                <w:rStyle w:val="Heading1-Sub"/>
              </w:rPr>
              <w:t>Ombudsman</w:t>
            </w:r>
            <w:r w:rsidRPr="00971749">
              <w:tab/>
            </w:r>
            <w:r w:rsidR="00F05A98">
              <w:t>Peter Boshier</w:t>
            </w:r>
          </w:p>
          <w:p w14:paraId="0EE9C1B0" w14:textId="77777777" w:rsidR="00F417FD" w:rsidRPr="00971749" w:rsidRDefault="00F417FD" w:rsidP="00971749">
            <w:pPr>
              <w:pStyle w:val="Heading1-Subnonboldtext"/>
            </w:pPr>
            <w:r w:rsidRPr="00971749">
              <w:rPr>
                <w:rStyle w:val="Heading1-Sub"/>
              </w:rPr>
              <w:t>Case number(s)</w:t>
            </w:r>
            <w:r w:rsidRPr="00971749">
              <w:tab/>
            </w:r>
            <w:bookmarkStart w:id="0" w:name="_GoBack"/>
            <w:r w:rsidR="00F05A98">
              <w:t>550114</w:t>
            </w:r>
          </w:p>
          <w:bookmarkEnd w:id="0"/>
          <w:p w14:paraId="38B8289F" w14:textId="77777777" w:rsidR="00F417FD" w:rsidRPr="00F417FD" w:rsidRDefault="00F417FD" w:rsidP="00F05A98">
            <w:pPr>
              <w:pStyle w:val="Heading1-Subnonboldtext"/>
            </w:pPr>
            <w:r w:rsidRPr="00971749">
              <w:rPr>
                <w:rStyle w:val="Heading1-Sub"/>
              </w:rPr>
              <w:t>Date</w:t>
            </w:r>
            <w:r w:rsidRPr="00971749">
              <w:tab/>
            </w:r>
            <w:r w:rsidR="00F05A98">
              <w:t>23 March 2022</w:t>
            </w:r>
          </w:p>
        </w:tc>
      </w:tr>
    </w:tbl>
    <w:p w14:paraId="3EABCD79" w14:textId="77777777" w:rsidR="00AA70C3" w:rsidRDefault="00AA70C3" w:rsidP="00E77A82">
      <w:pPr>
        <w:pStyle w:val="BodyText"/>
      </w:pPr>
    </w:p>
    <w:p w14:paraId="5FF66895" w14:textId="1A677603" w:rsidR="00E77A82" w:rsidRPr="00AA70C3" w:rsidRDefault="00AA70C3" w:rsidP="00E77A82">
      <w:pPr>
        <w:pStyle w:val="BodyText"/>
        <w:rPr>
          <w:rStyle w:val="Italics"/>
        </w:rPr>
      </w:pPr>
      <w:r w:rsidRPr="00AA70C3">
        <w:rPr>
          <w:rStyle w:val="Italics"/>
        </w:rPr>
        <w:t xml:space="preserve">Complaint about the </w:t>
      </w:r>
      <w:r w:rsidR="0085065B">
        <w:rPr>
          <w:rStyle w:val="Italics"/>
        </w:rPr>
        <w:t>level of funding provided by the Ministry of Social Development</w:t>
      </w:r>
      <w:r w:rsidRPr="00AA70C3">
        <w:rPr>
          <w:rStyle w:val="Italics"/>
        </w:rPr>
        <w:t xml:space="preserve"> for </w:t>
      </w:r>
      <w:r w:rsidR="00CB11C0">
        <w:rPr>
          <w:rStyle w:val="Italics"/>
        </w:rPr>
        <w:t>C</w:t>
      </w:r>
      <w:r w:rsidRPr="00AA70C3">
        <w:rPr>
          <w:rStyle w:val="Italics"/>
        </w:rPr>
        <w:t xml:space="preserve">ommunity </w:t>
      </w:r>
      <w:r w:rsidR="00CB11C0">
        <w:rPr>
          <w:rStyle w:val="Italics"/>
        </w:rPr>
        <w:t>P</w:t>
      </w:r>
      <w:r w:rsidRPr="00AA70C3">
        <w:rPr>
          <w:rStyle w:val="Italics"/>
        </w:rPr>
        <w:t xml:space="preserve">articipation </w:t>
      </w:r>
      <w:r w:rsidR="00CB11C0">
        <w:rPr>
          <w:rStyle w:val="Italics"/>
        </w:rPr>
        <w:t>S</w:t>
      </w:r>
      <w:r w:rsidRPr="00AA70C3">
        <w:rPr>
          <w:rStyle w:val="Italics"/>
        </w:rPr>
        <w:t xml:space="preserve">ervices </w:t>
      </w:r>
      <w:r w:rsidR="0085065B">
        <w:rPr>
          <w:rStyle w:val="Italics"/>
        </w:rPr>
        <w:t>– level of support based on Ministry</w:t>
      </w:r>
      <w:r w:rsidR="00FC5F1E">
        <w:rPr>
          <w:rStyle w:val="Italics"/>
        </w:rPr>
        <w:t xml:space="preserve"> of</w:t>
      </w:r>
      <w:r w:rsidR="0085065B">
        <w:rPr>
          <w:rStyle w:val="Italics"/>
        </w:rPr>
        <w:t xml:space="preserve"> Education Ongoing Resourcing Scheme - </w:t>
      </w:r>
      <w:r w:rsidRPr="00AA70C3">
        <w:rPr>
          <w:rStyle w:val="Italics"/>
        </w:rPr>
        <w:t xml:space="preserve">Chief Ombudsman found that the absence of a mechanism to reassess </w:t>
      </w:r>
      <w:r w:rsidR="00CB11C0">
        <w:rPr>
          <w:rStyle w:val="Italics"/>
        </w:rPr>
        <w:t>Community P</w:t>
      </w:r>
      <w:r w:rsidR="0085065B">
        <w:rPr>
          <w:rStyle w:val="Italics"/>
        </w:rPr>
        <w:t xml:space="preserve">articipation </w:t>
      </w:r>
      <w:r w:rsidR="00CB11C0">
        <w:rPr>
          <w:rStyle w:val="Italics"/>
        </w:rPr>
        <w:t xml:space="preserve">Services </w:t>
      </w:r>
      <w:r w:rsidR="0085065B">
        <w:rPr>
          <w:rStyle w:val="Italics"/>
        </w:rPr>
        <w:t xml:space="preserve">support </w:t>
      </w:r>
      <w:r w:rsidRPr="00AA70C3">
        <w:rPr>
          <w:rStyle w:val="Italics"/>
        </w:rPr>
        <w:t>needs</w:t>
      </w:r>
      <w:r w:rsidR="00CB11C0">
        <w:rPr>
          <w:rStyle w:val="Italics"/>
        </w:rPr>
        <w:t xml:space="preserve"> after a person had left school</w:t>
      </w:r>
      <w:r w:rsidRPr="00AA70C3">
        <w:rPr>
          <w:rStyle w:val="Italics"/>
        </w:rPr>
        <w:t xml:space="preserve"> was unreasonabl</w:t>
      </w:r>
      <w:r w:rsidR="0085065B">
        <w:rPr>
          <w:rStyle w:val="Italics"/>
        </w:rPr>
        <w:t>e, and</w:t>
      </w:r>
      <w:r w:rsidR="000F50FA">
        <w:rPr>
          <w:rStyle w:val="Italics"/>
        </w:rPr>
        <w:t xml:space="preserve"> raised issues in relation to</w:t>
      </w:r>
      <w:r w:rsidR="0085065B">
        <w:rPr>
          <w:rStyle w:val="Italics"/>
        </w:rPr>
        <w:t xml:space="preserve"> the United Nations Convention of the Rights of Persons with Disabilities. </w:t>
      </w:r>
    </w:p>
    <w:p w14:paraId="0B16FCDD" w14:textId="20D62C5F" w:rsidR="00E77A82" w:rsidRDefault="00E77A82" w:rsidP="0085065B">
      <w:pPr>
        <w:pStyle w:val="Heading1"/>
      </w:pPr>
      <w:r>
        <w:t>Background</w:t>
      </w:r>
    </w:p>
    <w:p w14:paraId="0BEF70DF" w14:textId="1915FA0F" w:rsidR="00AA70C3" w:rsidRDefault="0052166D" w:rsidP="00E77A82">
      <w:pPr>
        <w:pStyle w:val="BodyText"/>
      </w:pPr>
      <w:r>
        <w:t xml:space="preserve">The </w:t>
      </w:r>
      <w:r w:rsidR="00840CBF">
        <w:t xml:space="preserve">Chief Ombudsman received a complaint about the level of </w:t>
      </w:r>
      <w:r w:rsidR="007F0707">
        <w:t>C</w:t>
      </w:r>
      <w:r w:rsidR="00840CBF">
        <w:t xml:space="preserve">ommunity </w:t>
      </w:r>
      <w:r w:rsidR="007F0707">
        <w:t>P</w:t>
      </w:r>
      <w:r w:rsidR="00840CBF">
        <w:t>artici</w:t>
      </w:r>
      <w:r w:rsidR="007F0707">
        <w:t>pation S</w:t>
      </w:r>
      <w:r w:rsidR="00840CBF">
        <w:t>ervices provided by the</w:t>
      </w:r>
      <w:r w:rsidRPr="0052166D">
        <w:t xml:space="preserve"> Minist</w:t>
      </w:r>
      <w:r>
        <w:t xml:space="preserve">ry </w:t>
      </w:r>
      <w:r w:rsidR="00720102">
        <w:t>of</w:t>
      </w:r>
      <w:r>
        <w:t xml:space="preserve"> Social Development (MSD)</w:t>
      </w:r>
      <w:r w:rsidR="00840CBF">
        <w:t>.</w:t>
      </w:r>
      <w:r>
        <w:t xml:space="preserve"> </w:t>
      </w:r>
      <w:r w:rsidR="00840CBF">
        <w:t>At the time that the complainant’s son left school in 1999</w:t>
      </w:r>
      <w:r w:rsidR="00AA70C3">
        <w:t xml:space="preserve">, he was </w:t>
      </w:r>
      <w:r w:rsidR="00F77011">
        <w:t xml:space="preserve">classified as High Needs under </w:t>
      </w:r>
      <w:r w:rsidR="00AA70C3">
        <w:t>the Ministry of Education’s Ongoing Resourcing Scheme (ORS).</w:t>
      </w:r>
      <w:r w:rsidR="00840CBF">
        <w:t xml:space="preserve"> However, MSD did not have a mechanism to reassess funding entitlement to reflect changes in support needs. </w:t>
      </w:r>
    </w:p>
    <w:p w14:paraId="7BC9D288" w14:textId="7DA37A46" w:rsidR="00E77A82" w:rsidRDefault="00AA70C3" w:rsidP="00E77A82">
      <w:pPr>
        <w:pStyle w:val="BodyText"/>
      </w:pPr>
      <w:r>
        <w:t xml:space="preserve">MSD used the ORS assessment to determine funding for </w:t>
      </w:r>
      <w:r w:rsidR="007F0707">
        <w:t>C</w:t>
      </w:r>
      <w:r>
        <w:t xml:space="preserve">ommunity </w:t>
      </w:r>
      <w:r w:rsidR="007F0707">
        <w:t>P</w:t>
      </w:r>
      <w:r>
        <w:t xml:space="preserve">articipation </w:t>
      </w:r>
      <w:r w:rsidR="007F0707">
        <w:t>S</w:t>
      </w:r>
      <w:r>
        <w:t>ervices for pe</w:t>
      </w:r>
      <w:r w:rsidR="00FC5F1E">
        <w:t xml:space="preserve">ople </w:t>
      </w:r>
      <w:r>
        <w:t xml:space="preserve">with disabilities from </w:t>
      </w:r>
      <w:r w:rsidR="00FC5F1E">
        <w:t xml:space="preserve">the time </w:t>
      </w:r>
      <w:r>
        <w:t>they leave school until the</w:t>
      </w:r>
      <w:r w:rsidR="00001583">
        <w:t>y</w:t>
      </w:r>
      <w:r>
        <w:t xml:space="preserve"> turn 65. A classification of High Needs provides access to bulk-funded community participation programmes at an average rate of $4,100 per contracted place per year. </w:t>
      </w:r>
      <w:r w:rsidR="00001583">
        <w:t>A</w:t>
      </w:r>
      <w:r>
        <w:t xml:space="preserve"> classification of Very High Needs </w:t>
      </w:r>
      <w:r>
        <w:lastRenderedPageBreak/>
        <w:t>entitles the person to individualised funding for community participation support, to a maximum of $15,676.80 per person per year.</w:t>
      </w:r>
      <w:r w:rsidR="00027F8E">
        <w:rPr>
          <w:rStyle w:val="FootnoteReference"/>
        </w:rPr>
        <w:footnoteReference w:id="2"/>
      </w:r>
    </w:p>
    <w:p w14:paraId="089E9C1A" w14:textId="1751DCC4" w:rsidR="00AA70C3" w:rsidRDefault="00AA70C3" w:rsidP="00E77A82">
      <w:pPr>
        <w:pStyle w:val="BodyText"/>
      </w:pPr>
      <w:r>
        <w:t xml:space="preserve">The complainant considered </w:t>
      </w:r>
      <w:r w:rsidR="00C50EA1">
        <w:t xml:space="preserve">that </w:t>
      </w:r>
      <w:r w:rsidR="00775627">
        <w:t xml:space="preserve">the ORS assessment </w:t>
      </w:r>
      <w:r w:rsidR="00CB11C0">
        <w:t>was</w:t>
      </w:r>
      <w:r w:rsidR="00775627">
        <w:t xml:space="preserve"> incorrect and </w:t>
      </w:r>
      <w:r>
        <w:t xml:space="preserve">his son should have been </w:t>
      </w:r>
      <w:r w:rsidR="00775627">
        <w:t>classified as Very High Needs</w:t>
      </w:r>
      <w:r w:rsidR="00CB11C0">
        <w:t xml:space="preserve"> during his school years</w:t>
      </w:r>
      <w:r w:rsidR="00775627">
        <w:t xml:space="preserve">. </w:t>
      </w:r>
      <w:r w:rsidR="005E5700">
        <w:t>H</w:t>
      </w:r>
      <w:r w:rsidR="00775627">
        <w:t xml:space="preserve">e </w:t>
      </w:r>
      <w:r w:rsidR="005E5700">
        <w:t xml:space="preserve">also </w:t>
      </w:r>
      <w:r w:rsidR="00775627">
        <w:t xml:space="preserve">considered that </w:t>
      </w:r>
      <w:r w:rsidR="005E5700">
        <w:t>his</w:t>
      </w:r>
      <w:r w:rsidR="00775627">
        <w:t xml:space="preserve"> son’</w:t>
      </w:r>
      <w:r w:rsidR="00955D90">
        <w:t xml:space="preserve">s needs had increased and </w:t>
      </w:r>
      <w:r w:rsidR="003502EB">
        <w:t>the</w:t>
      </w:r>
      <w:r w:rsidR="00955D90">
        <w:t xml:space="preserve"> bulk-funded programme was not suitable for him.</w:t>
      </w:r>
      <w:r w:rsidR="00775627">
        <w:t xml:space="preserve"> </w:t>
      </w:r>
      <w:r w:rsidR="000C7120">
        <w:t xml:space="preserve">However, MSD had </w:t>
      </w:r>
      <w:r w:rsidR="000F50FA">
        <w:t>advised</w:t>
      </w:r>
      <w:r w:rsidR="003502EB">
        <w:t xml:space="preserve"> that</w:t>
      </w:r>
      <w:r w:rsidR="000C7120">
        <w:t xml:space="preserve"> it could provide funding based </w:t>
      </w:r>
      <w:r w:rsidR="00FC5F1E">
        <w:t xml:space="preserve">only </w:t>
      </w:r>
      <w:r w:rsidR="000C7120">
        <w:t>on the ORS assessment a</w:t>
      </w:r>
      <w:r w:rsidR="003502EB">
        <w:t>s it</w:t>
      </w:r>
      <w:r w:rsidR="000C7120">
        <w:t xml:space="preserve"> had no mechanism to review </w:t>
      </w:r>
      <w:r w:rsidR="003502EB">
        <w:t>OR</w:t>
      </w:r>
      <w:r w:rsidR="00FC5F1E">
        <w:t>S</w:t>
      </w:r>
      <w:r w:rsidR="000C7120">
        <w:t xml:space="preserve"> assessment</w:t>
      </w:r>
      <w:r w:rsidR="003502EB">
        <w:t>s</w:t>
      </w:r>
      <w:r w:rsidR="000C7120">
        <w:t xml:space="preserve">. </w:t>
      </w:r>
    </w:p>
    <w:p w14:paraId="47D74C1D" w14:textId="77777777" w:rsidR="00E77A82" w:rsidRDefault="00E77A82" w:rsidP="00E77A82">
      <w:pPr>
        <w:pStyle w:val="Heading1"/>
      </w:pPr>
      <w:r>
        <w:t>Investigation</w:t>
      </w:r>
    </w:p>
    <w:p w14:paraId="569FAD7E" w14:textId="7261BF57" w:rsidR="004C0CEF" w:rsidRDefault="00A510AB" w:rsidP="00950583">
      <w:pPr>
        <w:pStyle w:val="BodyText"/>
      </w:pPr>
      <w:r>
        <w:t xml:space="preserve">The Ombudsman </w:t>
      </w:r>
      <w:r w:rsidR="004C0CEF">
        <w:t xml:space="preserve">notified </w:t>
      </w:r>
      <w:r w:rsidR="00CB11C0">
        <w:t>MSD</w:t>
      </w:r>
      <w:r w:rsidR="004C0CEF">
        <w:t xml:space="preserve"> of his </w:t>
      </w:r>
      <w:r>
        <w:t>investigat</w:t>
      </w:r>
      <w:r w:rsidR="004C0CEF">
        <w:t>ion under the Ombudsm</w:t>
      </w:r>
      <w:r w:rsidR="00FC5F1E">
        <w:t>e</w:t>
      </w:r>
      <w:r w:rsidR="004C0CEF">
        <w:t xml:space="preserve">n Act. The Ombudsman sought information about why there was no mechanism to </w:t>
      </w:r>
      <w:r>
        <w:t>reassess</w:t>
      </w:r>
      <w:r w:rsidR="004C0CEF">
        <w:t xml:space="preserve"> the need for community participation funding</w:t>
      </w:r>
      <w:r w:rsidR="006A3B68">
        <w:t xml:space="preserve"> when</w:t>
      </w:r>
      <w:r w:rsidR="00CB11C0">
        <w:t xml:space="preserve"> the person had left</w:t>
      </w:r>
      <w:r w:rsidR="004C0CEF">
        <w:t xml:space="preserve"> school</w:t>
      </w:r>
      <w:r w:rsidR="00CB11C0">
        <w:t xml:space="preserve">. </w:t>
      </w:r>
    </w:p>
    <w:p w14:paraId="619EB8F7" w14:textId="6DDFE117" w:rsidR="006A3B68" w:rsidRDefault="004C0CEF" w:rsidP="00950583">
      <w:pPr>
        <w:pStyle w:val="BodyText"/>
      </w:pPr>
      <w:r>
        <w:t xml:space="preserve">In response, </w:t>
      </w:r>
      <w:r w:rsidR="00A510AB">
        <w:t>MSD advised that</w:t>
      </w:r>
      <w:r w:rsidR="006A3B68">
        <w:t xml:space="preserve"> </w:t>
      </w:r>
      <w:r w:rsidR="00A510AB">
        <w:t xml:space="preserve">no </w:t>
      </w:r>
      <w:r>
        <w:t xml:space="preserve">specific </w:t>
      </w:r>
      <w:r w:rsidR="00A510AB">
        <w:t xml:space="preserve">legislation </w:t>
      </w:r>
      <w:r w:rsidR="006A3B68">
        <w:t>or regulatory framework covered</w:t>
      </w:r>
      <w:r w:rsidR="00A510AB">
        <w:t xml:space="preserve"> </w:t>
      </w:r>
      <w:r w:rsidR="00CB11C0">
        <w:t>its C</w:t>
      </w:r>
      <w:r>
        <w:t>ommunity</w:t>
      </w:r>
      <w:r w:rsidR="00CB11C0">
        <w:t xml:space="preserve"> P</w:t>
      </w:r>
      <w:r>
        <w:t xml:space="preserve">articipation </w:t>
      </w:r>
      <w:r w:rsidR="00CB11C0">
        <w:t>Services f</w:t>
      </w:r>
      <w:r w:rsidR="00A510AB">
        <w:t>unding</w:t>
      </w:r>
      <w:r>
        <w:t xml:space="preserve">. </w:t>
      </w:r>
      <w:r w:rsidR="006A3B68" w:rsidRPr="006A3B68">
        <w:t xml:space="preserve">The Education and Training Act 2020 allows ORS classifications to be appealed and reviewed. However, this can occur </w:t>
      </w:r>
      <w:r w:rsidR="00FC5F1E">
        <w:t xml:space="preserve">only </w:t>
      </w:r>
      <w:r w:rsidR="006A3B68" w:rsidRPr="006A3B68">
        <w:t>while the disabled person is enrolled at a school. MSD acknowledged that ORS assessments are focused on measuring the level of support needed to a</w:t>
      </w:r>
      <w:r w:rsidR="0023386F">
        <w:t>cc</w:t>
      </w:r>
      <w:r w:rsidR="006A3B68" w:rsidRPr="006A3B68">
        <w:t xml:space="preserve">ess education. </w:t>
      </w:r>
      <w:r>
        <w:t xml:space="preserve">The </w:t>
      </w:r>
      <w:r w:rsidR="00A510AB">
        <w:t xml:space="preserve">operational policy settings </w:t>
      </w:r>
      <w:r>
        <w:t xml:space="preserve">that link </w:t>
      </w:r>
      <w:r w:rsidR="00A510AB">
        <w:t>eligibility to ORS assessments were created many years ago.</w:t>
      </w:r>
      <w:r>
        <w:t xml:space="preserve"> </w:t>
      </w:r>
      <w:r w:rsidR="00D95C7D" w:rsidRPr="00D95C7D">
        <w:t xml:space="preserve">In instances where individual support needs increase after schooling is completed, discretionary or individualised funding may be available through the Ministry of Health. </w:t>
      </w:r>
    </w:p>
    <w:p w14:paraId="61052A81" w14:textId="5DC00176" w:rsidR="00BB748A" w:rsidRDefault="00BB748A" w:rsidP="00BB748A">
      <w:pPr>
        <w:pStyle w:val="BodyText"/>
      </w:pPr>
      <w:r>
        <w:t xml:space="preserve">The Ombudsman </w:t>
      </w:r>
      <w:r w:rsidR="00502F1E">
        <w:t>formed the opinion that it was</w:t>
      </w:r>
      <w:r>
        <w:t xml:space="preserve"> </w:t>
      </w:r>
      <w:r w:rsidR="00502F1E">
        <w:t>un</w:t>
      </w:r>
      <w:r>
        <w:t xml:space="preserve">reasonable for MSD to use ORS assessments to determine funding for </w:t>
      </w:r>
      <w:r w:rsidR="00CB11C0">
        <w:t>C</w:t>
      </w:r>
      <w:r>
        <w:t xml:space="preserve">ommunity </w:t>
      </w:r>
      <w:r w:rsidR="00CB11C0">
        <w:t>P</w:t>
      </w:r>
      <w:r>
        <w:t xml:space="preserve">articipation </w:t>
      </w:r>
      <w:r w:rsidR="00CB11C0">
        <w:t>S</w:t>
      </w:r>
      <w:r>
        <w:t xml:space="preserve">ervices for </w:t>
      </w:r>
      <w:r w:rsidR="006A666D">
        <w:t>pe</w:t>
      </w:r>
      <w:r w:rsidR="00CB11C0">
        <w:t>ople</w:t>
      </w:r>
      <w:r w:rsidR="006A666D">
        <w:t xml:space="preserve"> with disabilities. It was</w:t>
      </w:r>
      <w:r>
        <w:t xml:space="preserve"> not fair for MSD to </w:t>
      </w:r>
      <w:r w:rsidR="006A3B68">
        <w:t>make</w:t>
      </w:r>
      <w:r>
        <w:t xml:space="preserve"> important decisions that directly affect disabled people’s day-to-day lives without providing any avenue to review or challenge th</w:t>
      </w:r>
      <w:r w:rsidR="006A3B68">
        <w:t>e</w:t>
      </w:r>
      <w:r>
        <w:t xml:space="preserve"> </w:t>
      </w:r>
      <w:r w:rsidR="006A3B68">
        <w:t>level of funding awarded</w:t>
      </w:r>
      <w:r>
        <w:t xml:space="preserve">. While MSD may refer individuals whose needs have increased to the Ministry of Health, </w:t>
      </w:r>
      <w:r w:rsidR="00502F1E">
        <w:t xml:space="preserve">the </w:t>
      </w:r>
      <w:r>
        <w:t>fund</w:t>
      </w:r>
      <w:r w:rsidR="00502F1E">
        <w:t>ing</w:t>
      </w:r>
      <w:r>
        <w:t xml:space="preserve"> </w:t>
      </w:r>
      <w:r w:rsidR="00502F1E">
        <w:t xml:space="preserve">of </w:t>
      </w:r>
      <w:r w:rsidR="00CB11C0">
        <w:t>C</w:t>
      </w:r>
      <w:r>
        <w:t xml:space="preserve">ommunity </w:t>
      </w:r>
      <w:r w:rsidR="00CB11C0">
        <w:t>P</w:t>
      </w:r>
      <w:r>
        <w:t xml:space="preserve">articipation </w:t>
      </w:r>
      <w:r w:rsidR="00CB11C0">
        <w:t>S</w:t>
      </w:r>
      <w:r>
        <w:t>ervice</w:t>
      </w:r>
      <w:r w:rsidR="00502F1E">
        <w:t xml:space="preserve">s is the responsibility of MSD. </w:t>
      </w:r>
      <w:r w:rsidR="00D95C7D">
        <w:t>T</w:t>
      </w:r>
      <w:r w:rsidR="003E1B3B">
        <w:t>he</w:t>
      </w:r>
      <w:r w:rsidR="006A666D">
        <w:t xml:space="preserve"> Ombudsma</w:t>
      </w:r>
      <w:r w:rsidR="00955D90">
        <w:t xml:space="preserve">n </w:t>
      </w:r>
      <w:r w:rsidR="006A3B68">
        <w:t>considered</w:t>
      </w:r>
      <w:r w:rsidR="00955D90">
        <w:t xml:space="preserve"> </w:t>
      </w:r>
      <w:r w:rsidR="006A666D">
        <w:t xml:space="preserve">that MSD </w:t>
      </w:r>
      <w:r w:rsidR="006A3B68">
        <w:t>was obliged</w:t>
      </w:r>
      <w:r w:rsidR="006A666D">
        <w:t xml:space="preserve"> to provide an </w:t>
      </w:r>
      <w:r w:rsidR="00502F1E">
        <w:t>avenue</w:t>
      </w:r>
      <w:r w:rsidR="006A666D">
        <w:t xml:space="preserve"> for people </w:t>
      </w:r>
      <w:r w:rsidR="00502F1E">
        <w:t>to</w:t>
      </w:r>
      <w:r w:rsidR="006A666D">
        <w:t xml:space="preserve"> </w:t>
      </w:r>
      <w:r w:rsidR="00502F1E">
        <w:t>challenge</w:t>
      </w:r>
      <w:r w:rsidR="006A666D">
        <w:t xml:space="preserve"> the accuracy of the ORS assessment. </w:t>
      </w:r>
      <w:r w:rsidR="00502F1E">
        <w:t>It is important that disabled</w:t>
      </w:r>
      <w:r>
        <w:t xml:space="preserve"> people </w:t>
      </w:r>
      <w:r w:rsidR="00CB11C0">
        <w:t>have access to C</w:t>
      </w:r>
      <w:r>
        <w:t xml:space="preserve">ommunity </w:t>
      </w:r>
      <w:r w:rsidR="00CB11C0">
        <w:t>P</w:t>
      </w:r>
      <w:r>
        <w:t xml:space="preserve">articipation </w:t>
      </w:r>
      <w:r w:rsidR="00CB11C0">
        <w:t xml:space="preserve">Services </w:t>
      </w:r>
      <w:r>
        <w:t xml:space="preserve">funding that matches their current needs.  </w:t>
      </w:r>
    </w:p>
    <w:p w14:paraId="43AABC39" w14:textId="009E7354" w:rsidR="00502F1E" w:rsidRDefault="00502F1E" w:rsidP="00C50EA1">
      <w:pPr>
        <w:pStyle w:val="Heading2"/>
      </w:pPr>
      <w:r w:rsidRPr="00502F1E">
        <w:t>United Nations Convention on the Rights of Persons with Disabilities</w:t>
      </w:r>
    </w:p>
    <w:p w14:paraId="1E3C921F" w14:textId="397CAC38" w:rsidR="00BB748A" w:rsidRDefault="006A666D" w:rsidP="00955D90">
      <w:pPr>
        <w:pStyle w:val="BodyText"/>
        <w:spacing w:after="120"/>
      </w:pPr>
      <w:r>
        <w:t xml:space="preserve">In coming to his conclusion, the Ombudsman cited </w:t>
      </w:r>
      <w:r w:rsidR="00955D90">
        <w:t>a</w:t>
      </w:r>
      <w:r w:rsidR="00BB748A">
        <w:t>rticle 19 of the United Nations Convention on the Rights of Persons with Disabilities (the Convention)</w:t>
      </w:r>
      <w:r>
        <w:t>, which states that</w:t>
      </w:r>
      <w:r w:rsidR="00BB748A">
        <w:t>:</w:t>
      </w:r>
    </w:p>
    <w:p w14:paraId="14BE8163" w14:textId="77777777" w:rsidR="00BB748A" w:rsidRDefault="00BB748A" w:rsidP="00BB748A">
      <w:pPr>
        <w:pStyle w:val="Quotationseparateparagraph"/>
      </w:pPr>
      <w:r>
        <w:t>States Parties […]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6B76696F" w14:textId="77777777" w:rsidR="00BB748A" w:rsidRDefault="00BB748A" w:rsidP="00BB748A">
      <w:pPr>
        <w:pStyle w:val="Quotationseparateparagraph"/>
        <w:ind w:left="1134"/>
      </w:pPr>
      <w:r>
        <w:t>c) Community services and facilities for the general population are available on an equal basis to persons with disabilities and are responsive to their needs.</w:t>
      </w:r>
    </w:p>
    <w:p w14:paraId="38B7C98D" w14:textId="02125E6D" w:rsidR="00BB748A" w:rsidRDefault="00954D0F" w:rsidP="00BB748A">
      <w:pPr>
        <w:pStyle w:val="BodyText"/>
      </w:pPr>
      <w:r>
        <w:t>The</w:t>
      </w:r>
      <w:r w:rsidR="006A666D">
        <w:t xml:space="preserve"> Ombudsman</w:t>
      </w:r>
      <w:r>
        <w:t xml:space="preserve"> considered it</w:t>
      </w:r>
      <w:r w:rsidR="00955D90">
        <w:t xml:space="preserve"> was</w:t>
      </w:r>
      <w:r w:rsidR="00BB748A">
        <w:t xml:space="preserve"> difficult to see how using an assessment carried out </w:t>
      </w:r>
      <w:r w:rsidR="00FC5F1E">
        <w:t xml:space="preserve">more than </w:t>
      </w:r>
      <w:r w:rsidR="00BB748A">
        <w:t>20 year</w:t>
      </w:r>
      <w:r w:rsidR="007B5458">
        <w:t xml:space="preserve">s ago </w:t>
      </w:r>
      <w:r w:rsidR="0023386F">
        <w:t xml:space="preserve">for education purposes, </w:t>
      </w:r>
      <w:r w:rsidR="007B5458">
        <w:t>to determine funding for Community Participation S</w:t>
      </w:r>
      <w:r w:rsidR="00BB748A">
        <w:t xml:space="preserve">ervices, </w:t>
      </w:r>
      <w:r>
        <w:t>particular</w:t>
      </w:r>
      <w:r w:rsidR="00C70EE3">
        <w:t>ly</w:t>
      </w:r>
      <w:r>
        <w:t xml:space="preserve"> </w:t>
      </w:r>
      <w:r w:rsidR="00BB748A">
        <w:t xml:space="preserve">when </w:t>
      </w:r>
      <w:r>
        <w:t>that</w:t>
      </w:r>
      <w:r w:rsidR="00BB748A">
        <w:t xml:space="preserve"> person’s needs have changed,</w:t>
      </w:r>
      <w:r w:rsidR="00DB24F4">
        <w:t xml:space="preserve"> </w:t>
      </w:r>
      <w:r w:rsidR="00FC5F1E">
        <w:t xml:space="preserve">was </w:t>
      </w:r>
      <w:r w:rsidR="00BB748A">
        <w:t>responsive to their current needs.</w:t>
      </w:r>
    </w:p>
    <w:p w14:paraId="7DBBF45F" w14:textId="741DD30F" w:rsidR="00BB748A" w:rsidRDefault="00D95C7D" w:rsidP="000C75EE">
      <w:pPr>
        <w:pStyle w:val="BodyText"/>
        <w:spacing w:after="120"/>
      </w:pPr>
      <w:r>
        <w:t>The Ombudsman also referred to</w:t>
      </w:r>
      <w:r w:rsidR="00656C3C">
        <w:t xml:space="preserve"> </w:t>
      </w:r>
      <w:r w:rsidR="009B1ACB">
        <w:t>A</w:t>
      </w:r>
      <w:r w:rsidR="00BB748A">
        <w:t>rticle 26 of the Convention</w:t>
      </w:r>
      <w:r w:rsidR="00CB11C0">
        <w:t>, which states that</w:t>
      </w:r>
      <w:r w:rsidR="00BB748A">
        <w:t>:</w:t>
      </w:r>
    </w:p>
    <w:p w14:paraId="2E9ACBA9" w14:textId="77777777" w:rsidR="00BB748A" w:rsidRDefault="00BB748A" w:rsidP="00BB748A">
      <w:pPr>
        <w:pStyle w:val="Quotationseparateparagraph"/>
      </w:pPr>
      <w:r>
        <w:t>States Parties shall take effective and appropriate measures […]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w:t>
      </w:r>
    </w:p>
    <w:p w14:paraId="0383E2A6" w14:textId="77777777" w:rsidR="00BB748A" w:rsidRDefault="00BB748A" w:rsidP="00BB748A">
      <w:pPr>
        <w:pStyle w:val="Quotationseparateparagraph"/>
        <w:ind w:left="1134"/>
      </w:pPr>
      <w:r>
        <w:t>a) Begin at the earliest possible stage, and are based on the multidisciplinary assessment of individual needs and strengths;</w:t>
      </w:r>
    </w:p>
    <w:p w14:paraId="759A9C05" w14:textId="0F77401C" w:rsidR="00BB748A" w:rsidRDefault="006A666D" w:rsidP="00950583">
      <w:pPr>
        <w:pStyle w:val="BodyText"/>
      </w:pPr>
      <w:r>
        <w:t>The</w:t>
      </w:r>
      <w:r w:rsidR="009B1ACB">
        <w:t xml:space="preserve"> </w:t>
      </w:r>
      <w:r>
        <w:t xml:space="preserve">Ombudsman </w:t>
      </w:r>
      <w:r w:rsidR="00D95C7D">
        <w:t>noted</w:t>
      </w:r>
      <w:r>
        <w:t xml:space="preserve"> that</w:t>
      </w:r>
      <w:r w:rsidR="00D95C7D">
        <w:t xml:space="preserve">, in this case, </w:t>
      </w:r>
      <w:r w:rsidR="00CB11C0">
        <w:t>C</w:t>
      </w:r>
      <w:r w:rsidR="00BB748A">
        <w:t xml:space="preserve">ommunity </w:t>
      </w:r>
      <w:r w:rsidR="00CB11C0">
        <w:t>P</w:t>
      </w:r>
      <w:r w:rsidR="00BB748A">
        <w:t xml:space="preserve">articipation </w:t>
      </w:r>
      <w:r w:rsidR="00CB11C0">
        <w:t>S</w:t>
      </w:r>
      <w:r w:rsidR="00BB748A">
        <w:t>ervices</w:t>
      </w:r>
      <w:r w:rsidR="00D95C7D">
        <w:t xml:space="preserve"> funding was not</w:t>
      </w:r>
      <w:r w:rsidR="00BB748A">
        <w:t xml:space="preserve"> based on a multidisciplinary assessment of current needs and strengths, as </w:t>
      </w:r>
      <w:r w:rsidR="003C7174">
        <w:t>the</w:t>
      </w:r>
      <w:r w:rsidR="00BB748A">
        <w:t xml:space="preserve"> ORS </w:t>
      </w:r>
      <w:r>
        <w:t>assessment wa</w:t>
      </w:r>
      <w:r w:rsidR="00BB748A">
        <w:t xml:space="preserve">s </w:t>
      </w:r>
      <w:r w:rsidR="00FC5F1E">
        <w:t xml:space="preserve">more than </w:t>
      </w:r>
      <w:r w:rsidR="00BB748A">
        <w:t>20 years old.</w:t>
      </w:r>
    </w:p>
    <w:p w14:paraId="476061FA" w14:textId="77777777" w:rsidR="00E77A82" w:rsidRDefault="00E77A82" w:rsidP="00950583">
      <w:pPr>
        <w:pStyle w:val="Heading1"/>
      </w:pPr>
      <w:r>
        <w:t>Outcome</w:t>
      </w:r>
    </w:p>
    <w:p w14:paraId="67B07A4F" w14:textId="13CA6010" w:rsidR="00E866FB" w:rsidRDefault="006A666D">
      <w:pPr>
        <w:pStyle w:val="BodyText"/>
      </w:pPr>
      <w:r>
        <w:t>MSD ac</w:t>
      </w:r>
      <w:r w:rsidR="007F0707">
        <w:t xml:space="preserve">knowledged that it does not have a mechanism to reassess </w:t>
      </w:r>
      <w:r w:rsidR="00FC5F1E">
        <w:t xml:space="preserve">a person’s </w:t>
      </w:r>
      <w:r w:rsidR="007F0707">
        <w:t xml:space="preserve">needs. It undertook to </w:t>
      </w:r>
      <w:r w:rsidR="003C7174" w:rsidRPr="003C7174">
        <w:t>a</w:t>
      </w:r>
      <w:r w:rsidR="003C7174">
        <w:t>pologise</w:t>
      </w:r>
      <w:r w:rsidR="007F0707">
        <w:t>, provide a flexible payment and engage with the complainant to explore other existing assessment options. In the longer term, MSD will undertake a review of</w:t>
      </w:r>
      <w:r w:rsidR="00D95C7D">
        <w:t xml:space="preserve"> </w:t>
      </w:r>
      <w:r w:rsidR="00E866FB">
        <w:t xml:space="preserve">its </w:t>
      </w:r>
      <w:r>
        <w:t>vocational support,</w:t>
      </w:r>
      <w:r w:rsidR="000933BB">
        <w:t xml:space="preserve"> </w:t>
      </w:r>
      <w:r w:rsidR="003C7174">
        <w:t>including</w:t>
      </w:r>
      <w:r>
        <w:t xml:space="preserve"> </w:t>
      </w:r>
      <w:r w:rsidR="007F0707">
        <w:t>C</w:t>
      </w:r>
      <w:r>
        <w:t xml:space="preserve">ommunity </w:t>
      </w:r>
      <w:r w:rsidR="007F0707">
        <w:t>P</w:t>
      </w:r>
      <w:r>
        <w:t xml:space="preserve">articipation </w:t>
      </w:r>
      <w:r w:rsidR="007F0707">
        <w:t>S</w:t>
      </w:r>
      <w:r>
        <w:t>ervices</w:t>
      </w:r>
      <w:r w:rsidR="00CB11C0">
        <w:t xml:space="preserve">, and develop advice for </w:t>
      </w:r>
      <w:r w:rsidR="00FC5F1E">
        <w:t>m</w:t>
      </w:r>
      <w:r w:rsidR="00CB11C0">
        <w:t>inisterial consideration.</w:t>
      </w:r>
    </w:p>
    <w:p w14:paraId="722452F1" w14:textId="3583C70B" w:rsidR="00950583" w:rsidRDefault="006A666D" w:rsidP="00950583">
      <w:pPr>
        <w:pStyle w:val="BodyText"/>
      </w:pPr>
      <w:r>
        <w:t xml:space="preserve">In light of MSD’s commitments, the Ombudsman did not make any recommendations. He commended the manner in which MSD responded to the investigation and its willingness to work towards a positive outcome.  </w:t>
      </w:r>
    </w:p>
    <w:p w14:paraId="768ED146" w14:textId="77777777" w:rsidR="00950583" w:rsidRPr="00950583" w:rsidRDefault="00950583" w:rsidP="00950583">
      <w:pPr>
        <w:pStyle w:val="Heading1"/>
        <w:rPr>
          <w:sz w:val="28"/>
        </w:rPr>
      </w:pPr>
      <w:r>
        <w:rPr>
          <w:sz w:val="28"/>
        </w:rPr>
        <w:t>Disclaimer</w:t>
      </w:r>
    </w:p>
    <w:p w14:paraId="5FFF4FA8" w14:textId="77777777" w:rsidR="00950583" w:rsidRPr="00950583" w:rsidRDefault="00950583" w:rsidP="00950583">
      <w:pPr>
        <w:pStyle w:val="Heading1"/>
        <w:spacing w:before="120"/>
        <w:rPr>
          <w:i/>
          <w:color w:val="auto"/>
          <w:sz w:val="24"/>
          <w:szCs w:val="24"/>
        </w:rPr>
      </w:pPr>
      <w:r w:rsidRPr="00950583">
        <w:rPr>
          <w:i/>
          <w:color w:val="auto"/>
          <w:sz w:val="24"/>
          <w:szCs w:val="24"/>
        </w:rPr>
        <w:t xml:space="preserve">This case note is published under the authority of the </w:t>
      </w:r>
      <w:hyperlink r:id="rId8" w:history="1">
        <w:r w:rsidRPr="00950583">
          <w:rPr>
            <w:rStyle w:val="Hyperlink"/>
            <w:i/>
            <w:iCs/>
            <w:color w:val="auto"/>
            <w:sz w:val="24"/>
            <w:szCs w:val="24"/>
          </w:rPr>
          <w:t>Ombudsmen Rules 1989</w:t>
        </w:r>
      </w:hyperlink>
      <w:r w:rsidRPr="00950583">
        <w:rPr>
          <w:i/>
          <w:color w:val="auto"/>
          <w:sz w:val="24"/>
          <w:szCs w:val="24"/>
        </w:rPr>
        <w:t>. It sets out an Ombudsman’s view on the facts of a particular case. It should not be taken as establishing any legal precedent that would bind an Ombudsman in future.</w:t>
      </w:r>
    </w:p>
    <w:p w14:paraId="609FC927" w14:textId="77777777" w:rsidR="00E77A82" w:rsidRPr="00950583" w:rsidRDefault="00E77A82" w:rsidP="00E77A82">
      <w:pPr>
        <w:pStyle w:val="BodyText"/>
        <w:rPr>
          <w:i/>
        </w:rPr>
      </w:pPr>
    </w:p>
    <w:sectPr w:rsidR="00E77A82" w:rsidRPr="00950583"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EFAA" w14:textId="77777777" w:rsidR="008859A9" w:rsidRPr="00D45126" w:rsidRDefault="008859A9" w:rsidP="00554FCD">
      <w:pPr>
        <w:spacing w:after="0" w:line="240" w:lineRule="auto"/>
        <w:rPr>
          <w:color w:val="4D4D4D"/>
        </w:rPr>
      </w:pPr>
      <w:r w:rsidRPr="00D45126">
        <w:rPr>
          <w:color w:val="4D4D4D"/>
        </w:rPr>
        <w:separator/>
      </w:r>
    </w:p>
  </w:endnote>
  <w:endnote w:type="continuationSeparator" w:id="0">
    <w:p w14:paraId="7A560993" w14:textId="77777777" w:rsidR="008859A9" w:rsidRPr="00D45126" w:rsidRDefault="008859A9" w:rsidP="00554FCD">
      <w:pPr>
        <w:spacing w:after="0" w:line="240" w:lineRule="auto"/>
        <w:rPr>
          <w:color w:val="4D4D4D"/>
        </w:rPr>
      </w:pPr>
      <w:r w:rsidRPr="00D45126">
        <w:rPr>
          <w:color w:val="4D4D4D"/>
        </w:rPr>
        <w:continuationSeparator/>
      </w:r>
    </w:p>
  </w:endnote>
  <w:endnote w:type="continuationNotice" w:id="1">
    <w:p w14:paraId="704DE854" w14:textId="77777777" w:rsidR="008859A9" w:rsidRDefault="00885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D2DC" w14:textId="77777777" w:rsidR="005D29ED" w:rsidRDefault="005D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9ECD" w14:textId="77777777" w:rsidR="008A593E" w:rsidRPr="0059155D" w:rsidRDefault="008A593E" w:rsidP="00B81F45">
    <w:pPr>
      <w:pStyle w:val="Footerline"/>
    </w:pPr>
  </w:p>
  <w:p w14:paraId="05D614B7" w14:textId="77777777" w:rsidR="008A593E" w:rsidRPr="0059155D" w:rsidRDefault="008A593E" w:rsidP="00B81F45">
    <w:pPr>
      <w:pStyle w:val="Footerline"/>
    </w:pPr>
  </w:p>
  <w:p w14:paraId="00E555B9" w14:textId="13D98DF4" w:rsidR="008A593E" w:rsidRPr="005533D8" w:rsidRDefault="000635E5" w:rsidP="00B81F45">
    <w:pPr>
      <w:pStyle w:val="Footer"/>
    </w:pPr>
    <w:fldSimple w:instr=" DOCVARIABLE  dvShortText ">
      <w:r w:rsidR="00E366EB">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F94BEF">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090" w14:textId="77777777" w:rsidR="008A593E" w:rsidRPr="0059155D" w:rsidRDefault="008A593E" w:rsidP="00AA3322">
    <w:pPr>
      <w:pStyle w:val="Footerline"/>
    </w:pPr>
  </w:p>
  <w:p w14:paraId="5563DFA6" w14:textId="77777777" w:rsidR="008A593E" w:rsidRPr="0059155D" w:rsidRDefault="008A593E" w:rsidP="00AA3322">
    <w:pPr>
      <w:pStyle w:val="Footerline"/>
    </w:pPr>
  </w:p>
  <w:p w14:paraId="7387CD40" w14:textId="5BE5B053" w:rsidR="008A593E" w:rsidRPr="005533D8" w:rsidRDefault="000635E5" w:rsidP="00AA3322">
    <w:pPr>
      <w:pStyle w:val="Footer"/>
    </w:pPr>
    <w:fldSimple w:instr=" DOCVARIABLE  dvShortText ">
      <w:r w:rsidR="00E366EB">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8859A9">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83A0" w14:textId="77777777" w:rsidR="008859A9" w:rsidRPr="00D45126" w:rsidRDefault="008859A9" w:rsidP="00257DA0">
      <w:pPr>
        <w:spacing w:after="0" w:line="240" w:lineRule="auto"/>
        <w:rPr>
          <w:color w:val="4D4D4D"/>
        </w:rPr>
      </w:pPr>
      <w:r w:rsidRPr="00D45126">
        <w:rPr>
          <w:color w:val="4D4D4D"/>
        </w:rPr>
        <w:separator/>
      </w:r>
    </w:p>
  </w:footnote>
  <w:footnote w:type="continuationSeparator" w:id="0">
    <w:p w14:paraId="4F3FBDE2" w14:textId="77777777" w:rsidR="008859A9" w:rsidRPr="00C14083" w:rsidRDefault="008859A9" w:rsidP="00554FCD">
      <w:pPr>
        <w:spacing w:after="0" w:line="240" w:lineRule="auto"/>
        <w:rPr>
          <w:color w:val="4D4D4D"/>
        </w:rPr>
      </w:pPr>
      <w:r w:rsidRPr="00C14083">
        <w:rPr>
          <w:color w:val="4D4D4D"/>
        </w:rPr>
        <w:continuationSeparator/>
      </w:r>
    </w:p>
  </w:footnote>
  <w:footnote w:type="continuationNotice" w:id="1">
    <w:p w14:paraId="37F88BEB" w14:textId="77777777" w:rsidR="008859A9" w:rsidRDefault="008859A9">
      <w:pPr>
        <w:spacing w:after="0" w:line="240" w:lineRule="auto"/>
      </w:pPr>
    </w:p>
  </w:footnote>
  <w:footnote w:id="2">
    <w:p w14:paraId="0396C871" w14:textId="6DDB7B66" w:rsidR="00027F8E" w:rsidRDefault="00027F8E">
      <w:pPr>
        <w:pStyle w:val="FootnoteText"/>
      </w:pPr>
      <w:r>
        <w:rPr>
          <w:rStyle w:val="FootnoteReference"/>
        </w:rPr>
        <w:footnoteRef/>
      </w:r>
      <w:r>
        <w:t xml:space="preserve"> </w:t>
      </w:r>
      <w:r>
        <w:tab/>
        <w:t xml:space="preserve">When Pay Equity is included, the total annual Ministry of Health funding for </w:t>
      </w:r>
      <w:r w:rsidR="00416868">
        <w:t xml:space="preserve">a person with very High Needs </w:t>
      </w:r>
      <w:r w:rsidR="00FB3029">
        <w:t xml:space="preserve">may </w:t>
      </w:r>
      <w:r w:rsidR="00416868">
        <w:t>increase to</w:t>
      </w:r>
      <w:r>
        <w:t xml:space="preserve"> $21,567.00 per annum excluding GST.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FD6" w14:textId="77777777" w:rsidR="005D29ED" w:rsidRDefault="005D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5148"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24AF09A7"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5203"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0A3210CB" wp14:editId="3DBAE72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True"/>
    <w:docVar w:name="IsInTable" w:val="False"/>
    <w:docVar w:name="OOTOTemplate" w:val="OOTO General\Case note.dotm"/>
  </w:docVars>
  <w:rsids>
    <w:rsidRoot w:val="00950583"/>
    <w:rsid w:val="00000AEE"/>
    <w:rsid w:val="00001583"/>
    <w:rsid w:val="0000164C"/>
    <w:rsid w:val="00002E2B"/>
    <w:rsid w:val="000048D2"/>
    <w:rsid w:val="0000771B"/>
    <w:rsid w:val="00011074"/>
    <w:rsid w:val="00013791"/>
    <w:rsid w:val="00021382"/>
    <w:rsid w:val="00024F53"/>
    <w:rsid w:val="00026A3B"/>
    <w:rsid w:val="000273F0"/>
    <w:rsid w:val="00027F8E"/>
    <w:rsid w:val="000328E9"/>
    <w:rsid w:val="00032A75"/>
    <w:rsid w:val="00035821"/>
    <w:rsid w:val="00040F52"/>
    <w:rsid w:val="00041615"/>
    <w:rsid w:val="000419C3"/>
    <w:rsid w:val="00045FD7"/>
    <w:rsid w:val="00046B63"/>
    <w:rsid w:val="00050123"/>
    <w:rsid w:val="00053114"/>
    <w:rsid w:val="000578A6"/>
    <w:rsid w:val="00057C4D"/>
    <w:rsid w:val="000635E5"/>
    <w:rsid w:val="00064CFD"/>
    <w:rsid w:val="00065881"/>
    <w:rsid w:val="000822C8"/>
    <w:rsid w:val="00084FC2"/>
    <w:rsid w:val="000929F9"/>
    <w:rsid w:val="000933BB"/>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C7120"/>
    <w:rsid w:val="000C75EE"/>
    <w:rsid w:val="000D3B26"/>
    <w:rsid w:val="000D4757"/>
    <w:rsid w:val="000D5790"/>
    <w:rsid w:val="000D6541"/>
    <w:rsid w:val="000D6DA5"/>
    <w:rsid w:val="000D6FA6"/>
    <w:rsid w:val="000E2563"/>
    <w:rsid w:val="000E2C2F"/>
    <w:rsid w:val="000E357E"/>
    <w:rsid w:val="000E36A8"/>
    <w:rsid w:val="000E48F3"/>
    <w:rsid w:val="000F09B0"/>
    <w:rsid w:val="000F27A2"/>
    <w:rsid w:val="000F32C4"/>
    <w:rsid w:val="000F358E"/>
    <w:rsid w:val="000F496B"/>
    <w:rsid w:val="000F4A8C"/>
    <w:rsid w:val="000F50FA"/>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D62B6"/>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386F"/>
    <w:rsid w:val="00237679"/>
    <w:rsid w:val="00245ACC"/>
    <w:rsid w:val="00251056"/>
    <w:rsid w:val="00251456"/>
    <w:rsid w:val="00253466"/>
    <w:rsid w:val="002539A9"/>
    <w:rsid w:val="00257DA0"/>
    <w:rsid w:val="00262294"/>
    <w:rsid w:val="00263B2F"/>
    <w:rsid w:val="00266172"/>
    <w:rsid w:val="00270EC8"/>
    <w:rsid w:val="0027214C"/>
    <w:rsid w:val="00272307"/>
    <w:rsid w:val="00272886"/>
    <w:rsid w:val="00272EB5"/>
    <w:rsid w:val="00274E49"/>
    <w:rsid w:val="002819FD"/>
    <w:rsid w:val="00283493"/>
    <w:rsid w:val="00283CAD"/>
    <w:rsid w:val="00283D4E"/>
    <w:rsid w:val="00283F3B"/>
    <w:rsid w:val="002841A8"/>
    <w:rsid w:val="00284C51"/>
    <w:rsid w:val="00285DBD"/>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10C5"/>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4EF4"/>
    <w:rsid w:val="00316CF6"/>
    <w:rsid w:val="00317D8B"/>
    <w:rsid w:val="00320E2B"/>
    <w:rsid w:val="00321801"/>
    <w:rsid w:val="00321D36"/>
    <w:rsid w:val="003374ED"/>
    <w:rsid w:val="00342CEE"/>
    <w:rsid w:val="003502EB"/>
    <w:rsid w:val="003516B6"/>
    <w:rsid w:val="0035756E"/>
    <w:rsid w:val="0036078D"/>
    <w:rsid w:val="003612FC"/>
    <w:rsid w:val="00363187"/>
    <w:rsid w:val="003636DB"/>
    <w:rsid w:val="00364A5B"/>
    <w:rsid w:val="00365F99"/>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C7174"/>
    <w:rsid w:val="003D02D4"/>
    <w:rsid w:val="003D139D"/>
    <w:rsid w:val="003D2F01"/>
    <w:rsid w:val="003D6A2B"/>
    <w:rsid w:val="003D7D3A"/>
    <w:rsid w:val="003E19E9"/>
    <w:rsid w:val="003E1B3B"/>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1686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0CEF"/>
    <w:rsid w:val="004C748E"/>
    <w:rsid w:val="004D3A9D"/>
    <w:rsid w:val="004D3E6F"/>
    <w:rsid w:val="004D4947"/>
    <w:rsid w:val="004D4CCB"/>
    <w:rsid w:val="004D6360"/>
    <w:rsid w:val="004E37DF"/>
    <w:rsid w:val="004E4498"/>
    <w:rsid w:val="004F143B"/>
    <w:rsid w:val="004F5787"/>
    <w:rsid w:val="00502F1E"/>
    <w:rsid w:val="0050347A"/>
    <w:rsid w:val="00503E51"/>
    <w:rsid w:val="005054E0"/>
    <w:rsid w:val="005102D8"/>
    <w:rsid w:val="00512CAE"/>
    <w:rsid w:val="00512D27"/>
    <w:rsid w:val="00515585"/>
    <w:rsid w:val="00515C43"/>
    <w:rsid w:val="00517375"/>
    <w:rsid w:val="00517AD4"/>
    <w:rsid w:val="00520431"/>
    <w:rsid w:val="0052166D"/>
    <w:rsid w:val="0052262C"/>
    <w:rsid w:val="0053285B"/>
    <w:rsid w:val="0053394E"/>
    <w:rsid w:val="005409E7"/>
    <w:rsid w:val="00541023"/>
    <w:rsid w:val="00546792"/>
    <w:rsid w:val="00551104"/>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0D52"/>
    <w:rsid w:val="005B1169"/>
    <w:rsid w:val="005B6E2F"/>
    <w:rsid w:val="005B7F25"/>
    <w:rsid w:val="005C4DB4"/>
    <w:rsid w:val="005C76DD"/>
    <w:rsid w:val="005C7BA2"/>
    <w:rsid w:val="005D03D0"/>
    <w:rsid w:val="005D29ED"/>
    <w:rsid w:val="005D525E"/>
    <w:rsid w:val="005D7383"/>
    <w:rsid w:val="005E1DEC"/>
    <w:rsid w:val="005E1F34"/>
    <w:rsid w:val="005E2932"/>
    <w:rsid w:val="005E4F3A"/>
    <w:rsid w:val="005E50C7"/>
    <w:rsid w:val="005E5700"/>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46AB"/>
    <w:rsid w:val="00655FF5"/>
    <w:rsid w:val="00656C3C"/>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3B68"/>
    <w:rsid w:val="006A5545"/>
    <w:rsid w:val="006A5CB2"/>
    <w:rsid w:val="006A666D"/>
    <w:rsid w:val="006B2725"/>
    <w:rsid w:val="006B4123"/>
    <w:rsid w:val="006B72A6"/>
    <w:rsid w:val="006C1FC2"/>
    <w:rsid w:val="006C3811"/>
    <w:rsid w:val="006C3851"/>
    <w:rsid w:val="006C3FF6"/>
    <w:rsid w:val="006C43C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102"/>
    <w:rsid w:val="0072077B"/>
    <w:rsid w:val="007251D7"/>
    <w:rsid w:val="0072556F"/>
    <w:rsid w:val="0072665E"/>
    <w:rsid w:val="0073150C"/>
    <w:rsid w:val="0073184A"/>
    <w:rsid w:val="0073197D"/>
    <w:rsid w:val="00733DAC"/>
    <w:rsid w:val="00734E9C"/>
    <w:rsid w:val="007370C8"/>
    <w:rsid w:val="0073772C"/>
    <w:rsid w:val="00743E91"/>
    <w:rsid w:val="00753648"/>
    <w:rsid w:val="007539DA"/>
    <w:rsid w:val="00760461"/>
    <w:rsid w:val="00763D2B"/>
    <w:rsid w:val="00764619"/>
    <w:rsid w:val="00773694"/>
    <w:rsid w:val="00775627"/>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5458"/>
    <w:rsid w:val="007B755F"/>
    <w:rsid w:val="007C3BDA"/>
    <w:rsid w:val="007C5CD4"/>
    <w:rsid w:val="007C679B"/>
    <w:rsid w:val="007C7995"/>
    <w:rsid w:val="007D3C1B"/>
    <w:rsid w:val="007D4081"/>
    <w:rsid w:val="007D5753"/>
    <w:rsid w:val="007D76FD"/>
    <w:rsid w:val="007E01D2"/>
    <w:rsid w:val="007E1397"/>
    <w:rsid w:val="007E58A0"/>
    <w:rsid w:val="007E664F"/>
    <w:rsid w:val="007F0707"/>
    <w:rsid w:val="007F4154"/>
    <w:rsid w:val="007F760D"/>
    <w:rsid w:val="00800219"/>
    <w:rsid w:val="0080047F"/>
    <w:rsid w:val="0080145D"/>
    <w:rsid w:val="00802414"/>
    <w:rsid w:val="00803CA9"/>
    <w:rsid w:val="00812748"/>
    <w:rsid w:val="00813A70"/>
    <w:rsid w:val="00815D79"/>
    <w:rsid w:val="00820C9C"/>
    <w:rsid w:val="008242EE"/>
    <w:rsid w:val="00825420"/>
    <w:rsid w:val="00825D06"/>
    <w:rsid w:val="00830680"/>
    <w:rsid w:val="00831A4E"/>
    <w:rsid w:val="00831EBB"/>
    <w:rsid w:val="00833247"/>
    <w:rsid w:val="00837EA6"/>
    <w:rsid w:val="00840CBF"/>
    <w:rsid w:val="008429D3"/>
    <w:rsid w:val="00844F64"/>
    <w:rsid w:val="00846794"/>
    <w:rsid w:val="00846D79"/>
    <w:rsid w:val="0085065B"/>
    <w:rsid w:val="00860B01"/>
    <w:rsid w:val="00861C91"/>
    <w:rsid w:val="00872924"/>
    <w:rsid w:val="008841B5"/>
    <w:rsid w:val="00884716"/>
    <w:rsid w:val="008859A9"/>
    <w:rsid w:val="00887AA8"/>
    <w:rsid w:val="0089080C"/>
    <w:rsid w:val="00892DF8"/>
    <w:rsid w:val="00893A27"/>
    <w:rsid w:val="00896D19"/>
    <w:rsid w:val="008A4ED0"/>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6859"/>
    <w:rsid w:val="008F746D"/>
    <w:rsid w:val="00903FCC"/>
    <w:rsid w:val="009135B5"/>
    <w:rsid w:val="00915DC5"/>
    <w:rsid w:val="0092033B"/>
    <w:rsid w:val="009203C6"/>
    <w:rsid w:val="00923ED7"/>
    <w:rsid w:val="0092445C"/>
    <w:rsid w:val="009300E6"/>
    <w:rsid w:val="009319DE"/>
    <w:rsid w:val="00932B40"/>
    <w:rsid w:val="009341D7"/>
    <w:rsid w:val="00934224"/>
    <w:rsid w:val="00934443"/>
    <w:rsid w:val="0093534C"/>
    <w:rsid w:val="00935540"/>
    <w:rsid w:val="00935D3F"/>
    <w:rsid w:val="00936C1D"/>
    <w:rsid w:val="009401E4"/>
    <w:rsid w:val="00942420"/>
    <w:rsid w:val="009438B5"/>
    <w:rsid w:val="0094461F"/>
    <w:rsid w:val="00944B48"/>
    <w:rsid w:val="00946D1C"/>
    <w:rsid w:val="00950583"/>
    <w:rsid w:val="00954D0F"/>
    <w:rsid w:val="00955D90"/>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1ACB"/>
    <w:rsid w:val="009B47B9"/>
    <w:rsid w:val="009C1083"/>
    <w:rsid w:val="009C1890"/>
    <w:rsid w:val="009C3499"/>
    <w:rsid w:val="009C375B"/>
    <w:rsid w:val="009C4723"/>
    <w:rsid w:val="009D6259"/>
    <w:rsid w:val="009D6F91"/>
    <w:rsid w:val="009E2446"/>
    <w:rsid w:val="009E280A"/>
    <w:rsid w:val="009E3199"/>
    <w:rsid w:val="009E77B0"/>
    <w:rsid w:val="009E78E3"/>
    <w:rsid w:val="009F0996"/>
    <w:rsid w:val="009F261A"/>
    <w:rsid w:val="009F4E72"/>
    <w:rsid w:val="009F5C3C"/>
    <w:rsid w:val="009F68AD"/>
    <w:rsid w:val="00A004F0"/>
    <w:rsid w:val="00A0089C"/>
    <w:rsid w:val="00A01B68"/>
    <w:rsid w:val="00A07124"/>
    <w:rsid w:val="00A1091A"/>
    <w:rsid w:val="00A13DA1"/>
    <w:rsid w:val="00A14DEB"/>
    <w:rsid w:val="00A21490"/>
    <w:rsid w:val="00A22D33"/>
    <w:rsid w:val="00A23242"/>
    <w:rsid w:val="00A30994"/>
    <w:rsid w:val="00A31D26"/>
    <w:rsid w:val="00A333DF"/>
    <w:rsid w:val="00A34057"/>
    <w:rsid w:val="00A34706"/>
    <w:rsid w:val="00A366ED"/>
    <w:rsid w:val="00A4087E"/>
    <w:rsid w:val="00A442D7"/>
    <w:rsid w:val="00A46CBA"/>
    <w:rsid w:val="00A47F79"/>
    <w:rsid w:val="00A510AB"/>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0C3"/>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645F"/>
    <w:rsid w:val="00B07607"/>
    <w:rsid w:val="00B11D76"/>
    <w:rsid w:val="00B12CFF"/>
    <w:rsid w:val="00B12F2E"/>
    <w:rsid w:val="00B137A7"/>
    <w:rsid w:val="00B13DC3"/>
    <w:rsid w:val="00B15375"/>
    <w:rsid w:val="00B163F1"/>
    <w:rsid w:val="00B170E0"/>
    <w:rsid w:val="00B175AA"/>
    <w:rsid w:val="00B17D95"/>
    <w:rsid w:val="00B2480C"/>
    <w:rsid w:val="00B26E2B"/>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146"/>
    <w:rsid w:val="00BB2E43"/>
    <w:rsid w:val="00BB31A4"/>
    <w:rsid w:val="00BB5F7D"/>
    <w:rsid w:val="00BB748A"/>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0EA1"/>
    <w:rsid w:val="00C521E5"/>
    <w:rsid w:val="00C56640"/>
    <w:rsid w:val="00C57D9E"/>
    <w:rsid w:val="00C60934"/>
    <w:rsid w:val="00C617E9"/>
    <w:rsid w:val="00C635CF"/>
    <w:rsid w:val="00C67C99"/>
    <w:rsid w:val="00C70EE3"/>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11C0"/>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CF6E76"/>
    <w:rsid w:val="00D02730"/>
    <w:rsid w:val="00D034B7"/>
    <w:rsid w:val="00D044F7"/>
    <w:rsid w:val="00D045CA"/>
    <w:rsid w:val="00D05C0E"/>
    <w:rsid w:val="00D11117"/>
    <w:rsid w:val="00D12F64"/>
    <w:rsid w:val="00D137EC"/>
    <w:rsid w:val="00D1414A"/>
    <w:rsid w:val="00D15616"/>
    <w:rsid w:val="00D15AA4"/>
    <w:rsid w:val="00D15AB8"/>
    <w:rsid w:val="00D175DC"/>
    <w:rsid w:val="00D17F1C"/>
    <w:rsid w:val="00D207DB"/>
    <w:rsid w:val="00D20B4B"/>
    <w:rsid w:val="00D23927"/>
    <w:rsid w:val="00D266C4"/>
    <w:rsid w:val="00D268E7"/>
    <w:rsid w:val="00D271D3"/>
    <w:rsid w:val="00D31D2A"/>
    <w:rsid w:val="00D33788"/>
    <w:rsid w:val="00D37EAB"/>
    <w:rsid w:val="00D41127"/>
    <w:rsid w:val="00D41EBB"/>
    <w:rsid w:val="00D44537"/>
    <w:rsid w:val="00D44CB1"/>
    <w:rsid w:val="00D45126"/>
    <w:rsid w:val="00D54F06"/>
    <w:rsid w:val="00D5554C"/>
    <w:rsid w:val="00D61F80"/>
    <w:rsid w:val="00D622B3"/>
    <w:rsid w:val="00D663CA"/>
    <w:rsid w:val="00D674E8"/>
    <w:rsid w:val="00D67917"/>
    <w:rsid w:val="00D73B0A"/>
    <w:rsid w:val="00D75233"/>
    <w:rsid w:val="00D82A56"/>
    <w:rsid w:val="00D82DAE"/>
    <w:rsid w:val="00D855F4"/>
    <w:rsid w:val="00D8643A"/>
    <w:rsid w:val="00D877DB"/>
    <w:rsid w:val="00D9081A"/>
    <w:rsid w:val="00D91A78"/>
    <w:rsid w:val="00D91F07"/>
    <w:rsid w:val="00D933EF"/>
    <w:rsid w:val="00D94920"/>
    <w:rsid w:val="00D95C7D"/>
    <w:rsid w:val="00D96EE7"/>
    <w:rsid w:val="00D97888"/>
    <w:rsid w:val="00DA1B9D"/>
    <w:rsid w:val="00DA395B"/>
    <w:rsid w:val="00DA45D8"/>
    <w:rsid w:val="00DA57CD"/>
    <w:rsid w:val="00DB191E"/>
    <w:rsid w:val="00DB24F4"/>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66EB"/>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6FB"/>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D166A"/>
    <w:rsid w:val="00EE057E"/>
    <w:rsid w:val="00EE15A1"/>
    <w:rsid w:val="00EE5FF3"/>
    <w:rsid w:val="00EF0BE7"/>
    <w:rsid w:val="00EF13A7"/>
    <w:rsid w:val="00EF1DF3"/>
    <w:rsid w:val="00EF446F"/>
    <w:rsid w:val="00EF4786"/>
    <w:rsid w:val="00EF4E61"/>
    <w:rsid w:val="00F03E2F"/>
    <w:rsid w:val="00F04A11"/>
    <w:rsid w:val="00F05438"/>
    <w:rsid w:val="00F05A98"/>
    <w:rsid w:val="00F11373"/>
    <w:rsid w:val="00F12913"/>
    <w:rsid w:val="00F13271"/>
    <w:rsid w:val="00F14418"/>
    <w:rsid w:val="00F148B2"/>
    <w:rsid w:val="00F15F18"/>
    <w:rsid w:val="00F16C09"/>
    <w:rsid w:val="00F247BC"/>
    <w:rsid w:val="00F315AB"/>
    <w:rsid w:val="00F3226B"/>
    <w:rsid w:val="00F331AC"/>
    <w:rsid w:val="00F342C7"/>
    <w:rsid w:val="00F3588C"/>
    <w:rsid w:val="00F35C53"/>
    <w:rsid w:val="00F36627"/>
    <w:rsid w:val="00F417FD"/>
    <w:rsid w:val="00F45C25"/>
    <w:rsid w:val="00F4637E"/>
    <w:rsid w:val="00F46FF8"/>
    <w:rsid w:val="00F47A93"/>
    <w:rsid w:val="00F51502"/>
    <w:rsid w:val="00F55965"/>
    <w:rsid w:val="00F56FAE"/>
    <w:rsid w:val="00F57DBF"/>
    <w:rsid w:val="00F63084"/>
    <w:rsid w:val="00F720D6"/>
    <w:rsid w:val="00F72F7A"/>
    <w:rsid w:val="00F75E07"/>
    <w:rsid w:val="00F77011"/>
    <w:rsid w:val="00F77137"/>
    <w:rsid w:val="00F777C7"/>
    <w:rsid w:val="00F8132B"/>
    <w:rsid w:val="00F90E72"/>
    <w:rsid w:val="00F922BB"/>
    <w:rsid w:val="00F93B23"/>
    <w:rsid w:val="00F94BEF"/>
    <w:rsid w:val="00F95E8E"/>
    <w:rsid w:val="00F96393"/>
    <w:rsid w:val="00F96FEC"/>
    <w:rsid w:val="00FA206A"/>
    <w:rsid w:val="00FA3979"/>
    <w:rsid w:val="00FA4C16"/>
    <w:rsid w:val="00FA59D2"/>
    <w:rsid w:val="00FB1F52"/>
    <w:rsid w:val="00FB23DD"/>
    <w:rsid w:val="00FB3029"/>
    <w:rsid w:val="00FB37A9"/>
    <w:rsid w:val="00FB41D2"/>
    <w:rsid w:val="00FC07DB"/>
    <w:rsid w:val="00FC5F1E"/>
    <w:rsid w:val="00FC61E0"/>
    <w:rsid w:val="00FC7D97"/>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95058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9027">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42E0-4995-4CE6-98AB-49C2D5EC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Background</vt:lpstr>
      <vt:lpstr>Investigation</vt:lpstr>
      <vt:lpstr>    United Nations Convention on the Rights of Persons with Disabilities</vt:lpstr>
      <vt:lpstr>Outcome</vt:lpstr>
      <vt:lpstr>Disclaimer</vt:lpstr>
      <vt:lpstr>This case note is published under the authority of the Ombudsmen Rules 1989. It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2022-06-28T21:52:00Z</dcterms:created>
  <dcterms:modified xsi:type="dcterms:W3CDTF">2022-06-28T21:52:00Z</dcterms:modified>
  <cp:contentStatus/>
</cp:coreProperties>
</file>