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92A60" w14:textId="77777777" w:rsidR="00E96424" w:rsidRDefault="00E96424" w:rsidP="00283F3B">
      <w:pPr>
        <w:pStyle w:val="BodyText1"/>
      </w:pPr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ED0181" w14:paraId="3D78F7ED" w14:textId="77777777" w:rsidTr="00094D1D">
        <w:trPr>
          <w:trHeight w:hRule="exact" w:val="2268"/>
        </w:trPr>
        <w:tc>
          <w:tcPr>
            <w:tcW w:w="9576" w:type="dxa"/>
            <w:tcMar>
              <w:top w:w="794" w:type="dxa"/>
            </w:tcMar>
            <w:vAlign w:val="bottom"/>
          </w:tcPr>
          <w:p w14:paraId="211BAAED" w14:textId="77777777" w:rsidR="00166C30" w:rsidRPr="000E36A8" w:rsidRDefault="002D0E9B" w:rsidP="00C945FA">
            <w:pPr>
              <w:pStyle w:val="Title"/>
            </w:pPr>
            <w:r>
              <w:t xml:space="preserve">Determination of ineligibility for publicly funded healthcare </w:t>
            </w:r>
            <w:r w:rsidR="00C945FA">
              <w:t>was wrong</w:t>
            </w:r>
          </w:p>
        </w:tc>
      </w:tr>
      <w:tr w:rsidR="00C87D78" w14:paraId="03B1EEB4" w14:textId="77777777" w:rsidTr="00094D1D">
        <w:trPr>
          <w:trHeight w:hRule="exact" w:val="340"/>
        </w:trPr>
        <w:tc>
          <w:tcPr>
            <w:tcW w:w="9576" w:type="dxa"/>
            <w:vAlign w:val="bottom"/>
          </w:tcPr>
          <w:p w14:paraId="64CC10EB" w14:textId="77777777" w:rsidR="00C87D78" w:rsidRDefault="00C87D78" w:rsidP="00C731DE"/>
        </w:tc>
      </w:tr>
      <w:tr w:rsidR="00F417FD" w14:paraId="22D30253" w14:textId="77777777" w:rsidTr="00094D1D">
        <w:trPr>
          <w:trHeight w:val="2098"/>
        </w:trPr>
        <w:tc>
          <w:tcPr>
            <w:tcW w:w="9576" w:type="dxa"/>
          </w:tcPr>
          <w:p w14:paraId="5C1F0F02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 w:rsidR="002D0E9B">
              <w:t>Ombudsmen Act 1975</w:t>
            </w:r>
            <w:r w:rsidR="00047F5F">
              <w:t>, New Zealand Public Health and Disability Act 2000, Immigration Act 2009</w:t>
            </w:r>
          </w:p>
          <w:p w14:paraId="2E8FB298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 w:rsidR="002D0E9B">
              <w:t>Ministry of Health</w:t>
            </w:r>
          </w:p>
          <w:p w14:paraId="59C33627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 w:rsidR="002D0E9B">
              <w:t>Peter Boshier</w:t>
            </w:r>
          </w:p>
          <w:p w14:paraId="31015434" w14:textId="77777777" w:rsidR="00F417FD" w:rsidRPr="00971749" w:rsidRDefault="00F417FD" w:rsidP="00971749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bookmarkStart w:id="0" w:name="_GoBack"/>
            <w:r w:rsidR="002D0E9B">
              <w:t>545577</w:t>
            </w:r>
            <w:bookmarkEnd w:id="0"/>
          </w:p>
          <w:p w14:paraId="1B082729" w14:textId="2C8A86F5" w:rsidR="00F417FD" w:rsidRPr="00F417FD" w:rsidRDefault="00F417FD" w:rsidP="00BA6532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 w:rsidR="002D0E9B">
              <w:t>May 2022</w:t>
            </w:r>
          </w:p>
        </w:tc>
      </w:tr>
    </w:tbl>
    <w:p w14:paraId="140CE6FF" w14:textId="77777777" w:rsidR="00094D1D" w:rsidRPr="00094D1D" w:rsidRDefault="00094D1D" w:rsidP="00094D1D">
      <w:pPr>
        <w:pStyle w:val="Guidelines"/>
        <w:rPr>
          <w:color w:val="auto"/>
        </w:rPr>
      </w:pPr>
    </w:p>
    <w:p w14:paraId="6C49A97A" w14:textId="492A0C94" w:rsidR="009C5947" w:rsidRDefault="002D0E9B" w:rsidP="00E77A82">
      <w:pPr>
        <w:pStyle w:val="BodyText"/>
        <w:rPr>
          <w:rStyle w:val="Italics"/>
        </w:rPr>
      </w:pPr>
      <w:r w:rsidRPr="002D0E9B">
        <w:rPr>
          <w:rStyle w:val="Italics"/>
        </w:rPr>
        <w:t xml:space="preserve">Complaint about </w:t>
      </w:r>
      <w:r w:rsidR="00B21866">
        <w:rPr>
          <w:rStyle w:val="Italics"/>
        </w:rPr>
        <w:t>a</w:t>
      </w:r>
      <w:r w:rsidR="00B21866" w:rsidRPr="002D0E9B">
        <w:rPr>
          <w:rStyle w:val="Italics"/>
        </w:rPr>
        <w:t xml:space="preserve"> </w:t>
      </w:r>
      <w:r w:rsidRPr="002D0E9B">
        <w:rPr>
          <w:rStyle w:val="Italics"/>
        </w:rPr>
        <w:t>determination by the Ministry of Health that a person was ineligible for publicly funded healthcare as they did not meet the time criteria prescribed in the Health and Disability Services Direction 2011 – the Ministry</w:t>
      </w:r>
      <w:r w:rsidR="00C945FA" w:rsidRPr="002D0E9B">
        <w:rPr>
          <w:rStyle w:val="Italics"/>
        </w:rPr>
        <w:t xml:space="preserve"> took a generic approach to calculating the ‘</w:t>
      </w:r>
      <w:r w:rsidR="00C945FA">
        <w:rPr>
          <w:rStyle w:val="Italics"/>
        </w:rPr>
        <w:t>two-year’ time criteria and</w:t>
      </w:r>
      <w:r w:rsidRPr="002D0E9B">
        <w:rPr>
          <w:rStyle w:val="Italics"/>
        </w:rPr>
        <w:t xml:space="preserve"> omitted to include</w:t>
      </w:r>
      <w:r>
        <w:rPr>
          <w:rStyle w:val="Italics"/>
        </w:rPr>
        <w:t xml:space="preserve"> the</w:t>
      </w:r>
      <w:r w:rsidRPr="002D0E9B">
        <w:rPr>
          <w:rStyle w:val="Italics"/>
        </w:rPr>
        <w:t xml:space="preserve"> last day of </w:t>
      </w:r>
      <w:r>
        <w:rPr>
          <w:rStyle w:val="Italics"/>
        </w:rPr>
        <w:t>the person</w:t>
      </w:r>
      <w:r w:rsidR="00A46299">
        <w:rPr>
          <w:rStyle w:val="Italics"/>
        </w:rPr>
        <w:t>’</w:t>
      </w:r>
      <w:r>
        <w:rPr>
          <w:rStyle w:val="Italics"/>
        </w:rPr>
        <w:t xml:space="preserve">s work </w:t>
      </w:r>
      <w:r w:rsidR="00C945FA">
        <w:rPr>
          <w:rStyle w:val="Italics"/>
        </w:rPr>
        <w:t xml:space="preserve">visa in its calculation – </w:t>
      </w:r>
      <w:r w:rsidRPr="002D0E9B">
        <w:rPr>
          <w:rStyle w:val="Italics"/>
        </w:rPr>
        <w:t>Ombudsman found</w:t>
      </w:r>
      <w:r w:rsidR="00C945FA">
        <w:rPr>
          <w:rStyle w:val="Italics"/>
        </w:rPr>
        <w:t xml:space="preserve"> that</w:t>
      </w:r>
      <w:r w:rsidRPr="002D0E9B">
        <w:rPr>
          <w:rStyle w:val="Italics"/>
        </w:rPr>
        <w:t xml:space="preserve"> </w:t>
      </w:r>
      <w:r w:rsidR="00C945FA">
        <w:rPr>
          <w:rStyle w:val="Italics"/>
        </w:rPr>
        <w:t>the way the Ministry calculated</w:t>
      </w:r>
      <w:r w:rsidR="005D49A0">
        <w:rPr>
          <w:rStyle w:val="Italics"/>
        </w:rPr>
        <w:t xml:space="preserve"> the time criteria was wrong,</w:t>
      </w:r>
      <w:r w:rsidR="00C945FA">
        <w:rPr>
          <w:rStyle w:val="Italics"/>
        </w:rPr>
        <w:t xml:space="preserve"> that the person had</w:t>
      </w:r>
      <w:r w:rsidRPr="002D0E9B">
        <w:rPr>
          <w:rStyle w:val="Italics"/>
        </w:rPr>
        <w:t xml:space="preserve"> met the time criteria</w:t>
      </w:r>
      <w:r w:rsidR="001275B2">
        <w:rPr>
          <w:rStyle w:val="Italics"/>
        </w:rPr>
        <w:t xml:space="preserve"> using a numeric day count </w:t>
      </w:r>
      <w:r>
        <w:rPr>
          <w:rStyle w:val="Italics"/>
        </w:rPr>
        <w:t xml:space="preserve">and was </w:t>
      </w:r>
      <w:r w:rsidR="00C945FA">
        <w:rPr>
          <w:rStyle w:val="Italics"/>
        </w:rPr>
        <w:t xml:space="preserve">therefore </w:t>
      </w:r>
      <w:r>
        <w:rPr>
          <w:rStyle w:val="Italics"/>
        </w:rPr>
        <w:t>eligible for publicly funded healthcare</w:t>
      </w:r>
      <w:r w:rsidR="009C5947">
        <w:rPr>
          <w:rStyle w:val="Italics"/>
        </w:rPr>
        <w:t>.</w:t>
      </w:r>
    </w:p>
    <w:p w14:paraId="4E068AFE" w14:textId="559C7B73" w:rsidR="002D0E9B" w:rsidRPr="002D0E9B" w:rsidRDefault="001275B2" w:rsidP="00E77A82">
      <w:pPr>
        <w:pStyle w:val="BodyText"/>
        <w:rPr>
          <w:rStyle w:val="Italics"/>
        </w:rPr>
      </w:pPr>
      <w:r>
        <w:rPr>
          <w:rStyle w:val="Italics"/>
        </w:rPr>
        <w:t>Ombudsman recommended that the Ministry apologise to the complainant, facilitate a refund and take steps to prevent</w:t>
      </w:r>
      <w:r w:rsidR="009C5947">
        <w:rPr>
          <w:rStyle w:val="Italics"/>
        </w:rPr>
        <w:t xml:space="preserve"> a recurrence. In addition, </w:t>
      </w:r>
      <w:r w:rsidR="004C3758">
        <w:rPr>
          <w:rStyle w:val="Italics"/>
        </w:rPr>
        <w:t>Ombudsman recommended</w:t>
      </w:r>
      <w:r>
        <w:rPr>
          <w:rStyle w:val="Italics"/>
        </w:rPr>
        <w:t xml:space="preserve"> the Ministry publish a statement on its website inviting any </w:t>
      </w:r>
      <w:r w:rsidR="00A46299">
        <w:rPr>
          <w:rStyle w:val="Italics"/>
        </w:rPr>
        <w:t xml:space="preserve">similarly </w:t>
      </w:r>
      <w:r>
        <w:rPr>
          <w:rStyle w:val="Italics"/>
        </w:rPr>
        <w:t xml:space="preserve">affected parties to come forward. </w:t>
      </w:r>
    </w:p>
    <w:p w14:paraId="6C0F219D" w14:textId="77777777" w:rsidR="00E77A82" w:rsidRDefault="00E77A82" w:rsidP="00E77A82">
      <w:pPr>
        <w:pStyle w:val="Heading1"/>
      </w:pPr>
      <w:r>
        <w:t>Background</w:t>
      </w:r>
    </w:p>
    <w:p w14:paraId="1B898118" w14:textId="5B6875BF" w:rsidR="00C04722" w:rsidRDefault="006A1604" w:rsidP="00C04722">
      <w:pPr>
        <w:pStyle w:val="BodyText"/>
      </w:pPr>
      <w:r>
        <w:t>The</w:t>
      </w:r>
      <w:r w:rsidR="00C04722">
        <w:t xml:space="preserve"> complainant arrived in New Zealan</w:t>
      </w:r>
      <w:r w:rsidR="00A776A3">
        <w:t>d</w:t>
      </w:r>
      <w:r w:rsidR="00C04722">
        <w:t xml:space="preserve"> </w:t>
      </w:r>
      <w:r w:rsidR="00C56972">
        <w:t>on 1</w:t>
      </w:r>
      <w:r w:rsidR="00A776A3">
        <w:t xml:space="preserve"> </w:t>
      </w:r>
      <w:r w:rsidR="00C04722">
        <w:t xml:space="preserve">March 2016 on a </w:t>
      </w:r>
      <w:r w:rsidR="00C04722" w:rsidRPr="007B6932">
        <w:t>student visa</w:t>
      </w:r>
      <w:r w:rsidR="00C04722">
        <w:t xml:space="preserve">. They were then granted a </w:t>
      </w:r>
      <w:r w:rsidR="00BA6532">
        <w:t>‘</w:t>
      </w:r>
      <w:r w:rsidR="00C04722">
        <w:t>job search</w:t>
      </w:r>
      <w:r w:rsidR="00BA6532">
        <w:t>’</w:t>
      </w:r>
      <w:r w:rsidR="00C04722">
        <w:t xml:space="preserve"> visa</w:t>
      </w:r>
      <w:r w:rsidR="00A776A3">
        <w:t xml:space="preserve"> and</w:t>
      </w:r>
      <w:r w:rsidR="00C04722">
        <w:t xml:space="preserve"> subsequently held a </w:t>
      </w:r>
      <w:r w:rsidR="00A776A3">
        <w:t>work visa valid un</w:t>
      </w:r>
      <w:r w:rsidR="00C04722">
        <w:t xml:space="preserve">til the </w:t>
      </w:r>
      <w:r w:rsidR="00A776A3">
        <w:t>end of</w:t>
      </w:r>
      <w:r w:rsidR="00C04722">
        <w:t xml:space="preserve"> February 2018.</w:t>
      </w:r>
      <w:r w:rsidR="005D49A0">
        <w:t xml:space="preserve"> </w:t>
      </w:r>
      <w:r w:rsidR="00A776A3">
        <w:t>In late 2017</w:t>
      </w:r>
      <w:r w:rsidR="00B35DFA">
        <w:t>,</w:t>
      </w:r>
      <w:r w:rsidR="00C04722">
        <w:t xml:space="preserve"> the complainant received medical treatment</w:t>
      </w:r>
      <w:r w:rsidR="00A776A3">
        <w:t xml:space="preserve"> at</w:t>
      </w:r>
      <w:r w:rsidR="00C04722">
        <w:t xml:space="preserve"> a hospital and</w:t>
      </w:r>
      <w:r w:rsidR="00A776A3">
        <w:t xml:space="preserve"> was charged</w:t>
      </w:r>
      <w:r w:rsidR="00C04722">
        <w:t xml:space="preserve"> </w:t>
      </w:r>
      <w:r w:rsidR="00BA6532">
        <w:t>(around $</w:t>
      </w:r>
      <w:r w:rsidR="00AF493F">
        <w:t>23</w:t>
      </w:r>
      <w:r w:rsidR="00BA6532">
        <w:t xml:space="preserve">,000) </w:t>
      </w:r>
      <w:r w:rsidR="00C04722">
        <w:t>by the District Health Board (DHB).</w:t>
      </w:r>
      <w:r w:rsidR="00C04722">
        <w:rPr>
          <w:rStyle w:val="FootnoteReference"/>
        </w:rPr>
        <w:footnoteReference w:id="2"/>
      </w:r>
    </w:p>
    <w:p w14:paraId="245EBFB2" w14:textId="77777777" w:rsidR="00BA6532" w:rsidRDefault="007D118B" w:rsidP="00C04722">
      <w:pPr>
        <w:pStyle w:val="BodyText"/>
      </w:pPr>
      <w:r>
        <w:t xml:space="preserve">Eligibility for publicly funded healthcare is determined by the </w:t>
      </w:r>
      <w:r w:rsidR="0000226C" w:rsidRPr="00A776A3">
        <w:t>Health and Disability Services Direction 2011</w:t>
      </w:r>
      <w:r w:rsidR="0000226C">
        <w:t xml:space="preserve"> (the Direction)</w:t>
      </w:r>
      <w:r>
        <w:t xml:space="preserve">, which is made under section 32 of the </w:t>
      </w:r>
      <w:r w:rsidRPr="007B6932">
        <w:t>New Zealand Public Health and Disability Act 2000</w:t>
      </w:r>
      <w:r>
        <w:t xml:space="preserve">. </w:t>
      </w:r>
    </w:p>
    <w:p w14:paraId="052A2F58" w14:textId="4727979B" w:rsidR="007D118B" w:rsidRDefault="00A776A3" w:rsidP="00C04722">
      <w:pPr>
        <w:pStyle w:val="BodyText"/>
      </w:pPr>
      <w:r>
        <w:lastRenderedPageBreak/>
        <w:t xml:space="preserve">The complainant </w:t>
      </w:r>
      <w:r w:rsidR="00C04722">
        <w:t>applied to the Ministry</w:t>
      </w:r>
      <w:r w:rsidR="00C25BB9">
        <w:t xml:space="preserve"> of Health</w:t>
      </w:r>
      <w:r>
        <w:t xml:space="preserve"> for a </w:t>
      </w:r>
      <w:r w:rsidR="00C04722" w:rsidRPr="007B6932">
        <w:t>determination</w:t>
      </w:r>
      <w:r w:rsidR="00C04722">
        <w:t xml:space="preserve"> as to </w:t>
      </w:r>
      <w:r>
        <w:t>whether they were eligible for</w:t>
      </w:r>
      <w:r w:rsidR="00C04722">
        <w:t xml:space="preserve"> publicly funded healthcare. The Ministry</w:t>
      </w:r>
      <w:r w:rsidR="002A5AC2">
        <w:t xml:space="preserve"> </w:t>
      </w:r>
      <w:r w:rsidR="00C04722">
        <w:t xml:space="preserve">considered </w:t>
      </w:r>
      <w:r>
        <w:t xml:space="preserve">the </w:t>
      </w:r>
      <w:r w:rsidR="0000226C">
        <w:t>application</w:t>
      </w:r>
      <w:r w:rsidR="00C04722">
        <w:t xml:space="preserve"> under clause B5</w:t>
      </w:r>
      <w:r w:rsidR="007D118B">
        <w:t>(b)(ii)</w:t>
      </w:r>
      <w:r w:rsidR="00C04722">
        <w:t xml:space="preserve"> of the </w:t>
      </w:r>
      <w:r>
        <w:t>Direction</w:t>
      </w:r>
      <w:r w:rsidR="0000226C">
        <w:t xml:space="preserve"> </w:t>
      </w:r>
      <w:r w:rsidR="007D118B">
        <w:t xml:space="preserve">which states that a person is </w:t>
      </w:r>
      <w:r w:rsidR="007D118B" w:rsidRPr="00A03F25">
        <w:t>eligible to receive s</w:t>
      </w:r>
      <w:r w:rsidR="007D118B">
        <w:t xml:space="preserve">ervices funded under the Act if </w:t>
      </w:r>
      <w:r w:rsidR="007D118B" w:rsidRPr="00A03F25">
        <w:t>the person is</w:t>
      </w:r>
      <w:r w:rsidR="007D118B">
        <w:t xml:space="preserve"> the holder of a work visa and</w:t>
      </w:r>
      <w:r w:rsidR="007D118B" w:rsidRPr="00A03F25">
        <w:t xml:space="preserve"> is entitled to work in </w:t>
      </w:r>
      <w:r w:rsidR="007D118B">
        <w:t>New Zealand</w:t>
      </w:r>
      <w:r w:rsidR="007D118B" w:rsidRPr="00A03F25">
        <w:t xml:space="preserve"> for a specified period</w:t>
      </w:r>
      <w:r w:rsidR="007D118B">
        <w:t xml:space="preserve"> </w:t>
      </w:r>
      <w:r w:rsidR="007D118B" w:rsidRPr="00A03F25">
        <w:t>of time that, together with the period of time</w:t>
      </w:r>
      <w:r w:rsidR="007D118B" w:rsidRPr="007D118B">
        <w:t xml:space="preserve"> the person has already been lawfully in New Zealand immediately before obtaining the work visa, </w:t>
      </w:r>
      <w:r w:rsidR="00BA6532" w:rsidRPr="000775C9">
        <w:rPr>
          <w:rStyle w:val="Italics"/>
        </w:rPr>
        <w:t>‘</w:t>
      </w:r>
      <w:r w:rsidR="005D49A0" w:rsidRPr="000775C9">
        <w:rPr>
          <w:rStyle w:val="Italics"/>
        </w:rPr>
        <w:t>equals or exceeds two</w:t>
      </w:r>
      <w:r w:rsidR="007D118B" w:rsidRPr="000775C9">
        <w:rPr>
          <w:rStyle w:val="Italics"/>
        </w:rPr>
        <w:t xml:space="preserve"> years</w:t>
      </w:r>
      <w:r w:rsidR="00BA6532" w:rsidRPr="000775C9">
        <w:rPr>
          <w:rStyle w:val="Italics"/>
        </w:rPr>
        <w:t>’</w:t>
      </w:r>
      <w:r w:rsidR="007D118B" w:rsidRPr="000775C9">
        <w:rPr>
          <w:rStyle w:val="Italics"/>
        </w:rPr>
        <w:t>.</w:t>
      </w:r>
    </w:p>
    <w:p w14:paraId="3E66EA3B" w14:textId="6FB752A1" w:rsidR="007D118B" w:rsidRDefault="007D118B" w:rsidP="00C04722">
      <w:pPr>
        <w:pStyle w:val="BodyText"/>
      </w:pPr>
      <w:r>
        <w:t>The Ministry d</w:t>
      </w:r>
      <w:r w:rsidR="00A776A3">
        <w:t>etermined that the</w:t>
      </w:r>
      <w:r>
        <w:t xml:space="preserve"> complainant was </w:t>
      </w:r>
      <w:r w:rsidR="00C04722" w:rsidRPr="007B6932">
        <w:t>not eligible</w:t>
      </w:r>
      <w:r>
        <w:t xml:space="preserve"> as they </w:t>
      </w:r>
      <w:r w:rsidR="00C04722">
        <w:t xml:space="preserve">did not meet the time criteria of </w:t>
      </w:r>
      <w:r w:rsidR="00C04722" w:rsidRPr="00290EBB">
        <w:rPr>
          <w:rStyle w:val="Italics"/>
        </w:rPr>
        <w:t>‘equal to or exceeding two years’</w:t>
      </w:r>
      <w:r>
        <w:t>. The Ministry ca</w:t>
      </w:r>
      <w:r w:rsidR="0000226C">
        <w:t xml:space="preserve">lculated the </w:t>
      </w:r>
      <w:r w:rsidR="00C945FA">
        <w:t>complainant’s</w:t>
      </w:r>
      <w:r>
        <w:t xml:space="preserve"> time </w:t>
      </w:r>
      <w:r w:rsidR="00466B45">
        <w:t xml:space="preserve">in New Zealand for the purposes of their eligibility under the Direction </w:t>
      </w:r>
      <w:r>
        <w:t>to be</w:t>
      </w:r>
      <w:r w:rsidR="00C04722">
        <w:t xml:space="preserve"> to one year and 364 days.</w:t>
      </w:r>
      <w:r w:rsidRPr="007D118B">
        <w:t xml:space="preserve"> </w:t>
      </w:r>
    </w:p>
    <w:p w14:paraId="0D34BA2B" w14:textId="2462FF75" w:rsidR="0000226C" w:rsidRDefault="007D118B" w:rsidP="00C04722">
      <w:pPr>
        <w:pStyle w:val="BodyText"/>
      </w:pPr>
      <w:r>
        <w:t>The Ministry’s position was that the complainant was not entitled to work for the full two</w:t>
      </w:r>
      <w:r w:rsidR="00A46299">
        <w:t>-</w:t>
      </w:r>
      <w:r>
        <w:t>year period as defined in the Direction.</w:t>
      </w:r>
      <w:r w:rsidR="0000226C">
        <w:t xml:space="preserve"> It stated that because the complainant’s visa started on 1 March 2016, </w:t>
      </w:r>
      <w:r w:rsidR="00C945FA">
        <w:t xml:space="preserve">the </w:t>
      </w:r>
      <w:r w:rsidR="0000226C" w:rsidRPr="00C945FA">
        <w:t>two</w:t>
      </w:r>
      <w:r w:rsidR="00A46299">
        <w:t>-</w:t>
      </w:r>
      <w:r w:rsidR="0000226C" w:rsidRPr="00C945FA">
        <w:t xml:space="preserve">year requirement would require </w:t>
      </w:r>
      <w:r w:rsidR="00C945FA">
        <w:t>them</w:t>
      </w:r>
      <w:r w:rsidR="0000226C" w:rsidRPr="00C945FA">
        <w:t xml:space="preserve"> to have a right to be working in New Zealand until 1 March 2018 </w:t>
      </w:r>
      <w:r w:rsidR="0000226C">
        <w:t>– the date two years later</w:t>
      </w:r>
      <w:r w:rsidR="0000226C" w:rsidRPr="0000226C">
        <w:t xml:space="preserve">. </w:t>
      </w:r>
    </w:p>
    <w:p w14:paraId="3AD6CA34" w14:textId="1EBC62EE" w:rsidR="00C04722" w:rsidRDefault="007D118B" w:rsidP="00C04722">
      <w:pPr>
        <w:pStyle w:val="BodyText"/>
      </w:pPr>
      <w:r>
        <w:t>It also excluded the final date of the complainant</w:t>
      </w:r>
      <w:r w:rsidR="006A42CC">
        <w:t>’</w:t>
      </w:r>
      <w:r>
        <w:t>s work visa from its calculation because they would have had to leave New Zealand on that day because that is when the work visa expired.</w:t>
      </w:r>
    </w:p>
    <w:p w14:paraId="5D180AC6" w14:textId="77777777" w:rsidR="00E77A82" w:rsidRDefault="00E77A82" w:rsidP="00E77A82">
      <w:pPr>
        <w:pStyle w:val="Heading1"/>
      </w:pPr>
      <w:r>
        <w:t>Investigation</w:t>
      </w:r>
    </w:p>
    <w:p w14:paraId="7E623E9E" w14:textId="77777777" w:rsidR="00C945FA" w:rsidRDefault="00A776A3" w:rsidP="00A776A3">
      <w:pPr>
        <w:pStyle w:val="BodyText"/>
      </w:pPr>
      <w:r>
        <w:t xml:space="preserve">The investigation concerned </w:t>
      </w:r>
      <w:r w:rsidR="00C945FA">
        <w:t>two related issues:</w:t>
      </w:r>
    </w:p>
    <w:p w14:paraId="1A093ACC" w14:textId="03051924" w:rsidR="00A776A3" w:rsidRDefault="00A776A3" w:rsidP="00A776A3">
      <w:pPr>
        <w:pStyle w:val="Bullet1"/>
      </w:pPr>
      <w:r>
        <w:t>the Ministry’s</w:t>
      </w:r>
      <w:r w:rsidR="005D49A0">
        <w:t xml:space="preserve"> interpretation of what a </w:t>
      </w:r>
      <w:r w:rsidR="00BA6532">
        <w:t>‘</w:t>
      </w:r>
      <w:r w:rsidR="005D49A0">
        <w:t>year</w:t>
      </w:r>
      <w:r w:rsidR="00BA6532">
        <w:t>’</w:t>
      </w:r>
      <w:r w:rsidR="005D49A0">
        <w:t xml:space="preserve"> i</w:t>
      </w:r>
      <w:r>
        <w:t>s; and</w:t>
      </w:r>
    </w:p>
    <w:p w14:paraId="6F216046" w14:textId="1C31FB11" w:rsidR="00A776A3" w:rsidRDefault="00A776A3" w:rsidP="00A776A3">
      <w:pPr>
        <w:pStyle w:val="Bullet1"/>
      </w:pPr>
      <w:r>
        <w:t xml:space="preserve">whether the Ministry was correct to exclude </w:t>
      </w:r>
      <w:r w:rsidR="007D118B">
        <w:t>the last day of the complainant</w:t>
      </w:r>
      <w:r w:rsidR="00A46299">
        <w:t>’</w:t>
      </w:r>
      <w:r w:rsidR="007D118B">
        <w:t>s work visa</w:t>
      </w:r>
      <w:r>
        <w:t xml:space="preserve"> in its calculation.</w:t>
      </w:r>
    </w:p>
    <w:p w14:paraId="6E775829" w14:textId="74DA629D" w:rsidR="007D118B" w:rsidRDefault="007D118B" w:rsidP="007D118B">
      <w:pPr>
        <w:pStyle w:val="BodyText"/>
      </w:pPr>
      <w:r>
        <w:t>In the absence of a definition</w:t>
      </w:r>
      <w:r w:rsidR="00C945FA">
        <w:t xml:space="preserve"> of a ‘year’</w:t>
      </w:r>
      <w:r>
        <w:t xml:space="preserve"> in</w:t>
      </w:r>
      <w:r w:rsidR="00C945FA">
        <w:t xml:space="preserve"> the</w:t>
      </w:r>
      <w:r>
        <w:t xml:space="preserve"> </w:t>
      </w:r>
      <w:r w:rsidR="00C945FA">
        <w:t>Direction, th</w:t>
      </w:r>
      <w:r w:rsidR="00C56972">
        <w:t>e Act or the Legislation Act 2019</w:t>
      </w:r>
      <w:r>
        <w:t xml:space="preserve">, the </w:t>
      </w:r>
      <w:r w:rsidR="00047F5F">
        <w:t xml:space="preserve">Chief </w:t>
      </w:r>
      <w:r>
        <w:t xml:space="preserve">Ombudsman considered the </w:t>
      </w:r>
      <w:hyperlink r:id="rId8" w:history="1">
        <w:r w:rsidRPr="00347507">
          <w:rPr>
            <w:rStyle w:val="Hyperlink"/>
          </w:rPr>
          <w:t xml:space="preserve">dictionary </w:t>
        </w:r>
        <w:r w:rsidR="0000226C" w:rsidRPr="00347507">
          <w:rPr>
            <w:rStyle w:val="Hyperlink"/>
          </w:rPr>
          <w:t>definition</w:t>
        </w:r>
      </w:hyperlink>
      <w:r w:rsidR="00C945FA">
        <w:t>,</w:t>
      </w:r>
      <w:r w:rsidR="0000226C">
        <w:t xml:space="preserve"> which stated</w:t>
      </w:r>
      <w:r>
        <w:t xml:space="preserve"> that a year</w:t>
      </w:r>
      <w:r w:rsidR="0000226C">
        <w:t xml:space="preserve"> </w:t>
      </w:r>
      <w:r>
        <w:t>is a 365-day period (or 366-days in a leap year) that starts on one date and runs through until the preceding date of the following year.</w:t>
      </w:r>
    </w:p>
    <w:p w14:paraId="737E0B1C" w14:textId="05EC0C98" w:rsidR="007D118B" w:rsidRDefault="0000226C" w:rsidP="007D118B">
      <w:pPr>
        <w:pStyle w:val="BodyText"/>
      </w:pPr>
      <w:r>
        <w:t xml:space="preserve">The Ombudsman formed the opinion that the </w:t>
      </w:r>
      <w:r w:rsidR="007D118B">
        <w:t>Ministry</w:t>
      </w:r>
      <w:r>
        <w:t xml:space="preserve">’s approach </w:t>
      </w:r>
      <w:r w:rsidR="003A4395">
        <w:t>of focusing on</w:t>
      </w:r>
      <w:r w:rsidR="007D118B">
        <w:t xml:space="preserve"> </w:t>
      </w:r>
      <w:r w:rsidR="003A4395">
        <w:t xml:space="preserve">the </w:t>
      </w:r>
      <w:r w:rsidR="001A6787">
        <w:t>overall</w:t>
      </w:r>
      <w:r w:rsidR="003A4395">
        <w:t xml:space="preserve"> years rather than the number of days </w:t>
      </w:r>
      <w:r w:rsidR="007D118B">
        <w:t xml:space="preserve"> – 1 March 2016 plus two years equals 1 March 2018</w:t>
      </w:r>
      <w:r>
        <w:t xml:space="preserve"> – to be incorrect</w:t>
      </w:r>
      <w:r w:rsidR="007D118B">
        <w:t>.</w:t>
      </w:r>
      <w:r>
        <w:t xml:space="preserve"> He considered that </w:t>
      </w:r>
      <w:r w:rsidR="007D118B">
        <w:t xml:space="preserve">the </w:t>
      </w:r>
      <w:r w:rsidR="007D118B" w:rsidRPr="0043487B">
        <w:rPr>
          <w:rStyle w:val="Italics"/>
        </w:rPr>
        <w:t>‘two years’</w:t>
      </w:r>
      <w:r w:rsidR="007D118B">
        <w:t xml:space="preserve"> specified in the Direction must mean two periods of 365 days, or 730 day</w:t>
      </w:r>
      <w:r w:rsidR="007D118B" w:rsidRPr="008D4A9C">
        <w:t>s</w:t>
      </w:r>
      <w:r w:rsidR="007D118B">
        <w:t xml:space="preserve"> </w:t>
      </w:r>
      <w:r>
        <w:t>total.</w:t>
      </w:r>
    </w:p>
    <w:p w14:paraId="457D38DE" w14:textId="2389402C" w:rsidR="0090218E" w:rsidRDefault="00C945FA" w:rsidP="0000226C">
      <w:pPr>
        <w:pStyle w:val="BodyText"/>
      </w:pPr>
      <w:r>
        <w:t>V</w:t>
      </w:r>
      <w:r w:rsidR="00E3065B">
        <w:t>isa expiry dates are defined</w:t>
      </w:r>
      <w:r>
        <w:t xml:space="preserve"> in s</w:t>
      </w:r>
      <w:r w:rsidR="0000226C" w:rsidRPr="007B6932">
        <w:t>ection 63 of the Immigration Act 2009</w:t>
      </w:r>
      <w:r>
        <w:t>.</w:t>
      </w:r>
      <w:r w:rsidR="0090218E">
        <w:t xml:space="preserve"> </w:t>
      </w:r>
      <w:r w:rsidR="00047F5F">
        <w:t>S</w:t>
      </w:r>
      <w:r w:rsidR="0000226C">
        <w:t>ection 63(1)(a)</w:t>
      </w:r>
      <w:r w:rsidR="0090218E">
        <w:t xml:space="preserve"> </w:t>
      </w:r>
      <w:r w:rsidR="00047F5F">
        <w:t xml:space="preserve">provides </w:t>
      </w:r>
      <w:r w:rsidR="0090218E">
        <w:t xml:space="preserve">that </w:t>
      </w:r>
      <w:r w:rsidR="004C3758">
        <w:t>a</w:t>
      </w:r>
      <w:r w:rsidR="0000226C" w:rsidRPr="00481AD4">
        <w:t xml:space="preserve"> </w:t>
      </w:r>
      <w:r w:rsidR="0090218E">
        <w:t>visa expires on t</w:t>
      </w:r>
      <w:r w:rsidR="0000226C" w:rsidRPr="00481AD4">
        <w:t>he beginning of the day after the date specified</w:t>
      </w:r>
      <w:r w:rsidR="0090218E">
        <w:t xml:space="preserve"> in the visa as the expiry date. </w:t>
      </w:r>
      <w:r w:rsidR="0000226C" w:rsidRPr="007B6932">
        <w:t>Immigration N</w:t>
      </w:r>
      <w:r w:rsidR="0000226C">
        <w:t xml:space="preserve">ew </w:t>
      </w:r>
      <w:r w:rsidR="0000226C" w:rsidRPr="007B6932">
        <w:t>Z</w:t>
      </w:r>
      <w:r w:rsidR="0000226C">
        <w:t>ealand</w:t>
      </w:r>
      <w:r w:rsidR="0000226C" w:rsidRPr="007B6932">
        <w:t>’s website</w:t>
      </w:r>
      <w:r w:rsidR="0000226C">
        <w:t xml:space="preserve"> </w:t>
      </w:r>
      <w:r w:rsidR="00C56972">
        <w:t>stated</w:t>
      </w:r>
      <w:r w:rsidR="0000226C">
        <w:t xml:space="preserve"> that </w:t>
      </w:r>
      <w:r w:rsidR="0000226C" w:rsidRPr="001C5DFB">
        <w:rPr>
          <w:rStyle w:val="Quotationwithinthesentence"/>
        </w:rPr>
        <w:t>‘visa expiry’</w:t>
      </w:r>
      <w:r w:rsidR="0000226C">
        <w:t xml:space="preserve"> is </w:t>
      </w:r>
      <w:r w:rsidR="0000226C" w:rsidRPr="001C5DFB">
        <w:rPr>
          <w:rStyle w:val="Quotationwithinthesentence"/>
        </w:rPr>
        <w:t>‘the last day you can stay in New Zealand’</w:t>
      </w:r>
      <w:r w:rsidR="0000226C">
        <w:t>.</w:t>
      </w:r>
      <w:r w:rsidR="0000226C">
        <w:rPr>
          <w:rStyle w:val="FootnoteReference"/>
        </w:rPr>
        <w:footnoteReference w:id="3"/>
      </w:r>
      <w:r w:rsidR="0000226C" w:rsidRPr="008D4A9C">
        <w:t xml:space="preserve"> </w:t>
      </w:r>
    </w:p>
    <w:p w14:paraId="6FFB74B0" w14:textId="48188FBC" w:rsidR="0000226C" w:rsidRDefault="0090218E" w:rsidP="0000226C">
      <w:pPr>
        <w:pStyle w:val="BodyText"/>
      </w:pPr>
      <w:r>
        <w:t xml:space="preserve">The Ombudsman </w:t>
      </w:r>
      <w:r w:rsidR="00B60493">
        <w:t>observed</w:t>
      </w:r>
      <w:r>
        <w:t xml:space="preserve"> that the complainant </w:t>
      </w:r>
      <w:r w:rsidR="0000226C">
        <w:t>would have been entitled to work</w:t>
      </w:r>
      <w:r w:rsidR="0000226C" w:rsidRPr="00480F20">
        <w:t xml:space="preserve"> </w:t>
      </w:r>
      <w:r w:rsidR="00B60493">
        <w:t xml:space="preserve">up </w:t>
      </w:r>
      <w:r w:rsidR="0000226C" w:rsidRPr="00480F20">
        <w:t xml:space="preserve">until </w:t>
      </w:r>
      <w:r w:rsidR="00C56972">
        <w:t>the last day of their</w:t>
      </w:r>
      <w:r>
        <w:t xml:space="preserve"> visa at the end of February 2018</w:t>
      </w:r>
      <w:r w:rsidR="0000226C" w:rsidRPr="00480F20">
        <w:t xml:space="preserve">. </w:t>
      </w:r>
      <w:r>
        <w:t xml:space="preserve">The Ombudsman </w:t>
      </w:r>
      <w:r w:rsidR="0000226C">
        <w:t>acknowledge</w:t>
      </w:r>
      <w:r>
        <w:t>d</w:t>
      </w:r>
      <w:r w:rsidR="0000226C">
        <w:t xml:space="preserve"> that</w:t>
      </w:r>
      <w:r w:rsidR="0000226C" w:rsidRPr="00480F20">
        <w:t xml:space="preserve"> without securing another visa, </w:t>
      </w:r>
      <w:r>
        <w:t xml:space="preserve">the complainant would </w:t>
      </w:r>
      <w:r w:rsidR="0000226C" w:rsidRPr="00480F20">
        <w:t xml:space="preserve">have been required to leave </w:t>
      </w:r>
      <w:r w:rsidR="0000226C">
        <w:t>New Zealand</w:t>
      </w:r>
      <w:r w:rsidR="0000226C" w:rsidRPr="00480F20">
        <w:t xml:space="preserve"> </w:t>
      </w:r>
      <w:r w:rsidR="00C56972">
        <w:t>before their</w:t>
      </w:r>
      <w:r>
        <w:t xml:space="preserve"> visa expired </w:t>
      </w:r>
      <w:r w:rsidR="00C56972">
        <w:t>to ensure they</w:t>
      </w:r>
      <w:r w:rsidR="0000226C">
        <w:t xml:space="preserve"> did not overstay</w:t>
      </w:r>
      <w:r w:rsidR="00A46299">
        <w:t>.</w:t>
      </w:r>
      <w:r w:rsidR="005D49A0">
        <w:t xml:space="preserve"> </w:t>
      </w:r>
      <w:r w:rsidR="00A46299">
        <w:t>H</w:t>
      </w:r>
      <w:r>
        <w:t>owever</w:t>
      </w:r>
      <w:r w:rsidR="00A46299">
        <w:t>,</w:t>
      </w:r>
      <w:r w:rsidR="0000226C">
        <w:t xml:space="preserve"> </w:t>
      </w:r>
      <w:r>
        <w:t>he</w:t>
      </w:r>
      <w:r w:rsidR="0000226C">
        <w:t xml:space="preserve"> d</w:t>
      </w:r>
      <w:r>
        <w:t>id</w:t>
      </w:r>
      <w:r w:rsidR="0000226C">
        <w:t xml:space="preserve"> not consider that </w:t>
      </w:r>
      <w:r>
        <w:t>was</w:t>
      </w:r>
      <w:r w:rsidR="0000226C">
        <w:t xml:space="preserve"> </w:t>
      </w:r>
      <w:r w:rsidR="0000226C" w:rsidRPr="00480F20">
        <w:t xml:space="preserve">relevant to </w:t>
      </w:r>
      <w:r w:rsidR="0000226C">
        <w:t xml:space="preserve">determinations made under </w:t>
      </w:r>
      <w:r w:rsidR="0000226C" w:rsidRPr="00480F20">
        <w:t>clause B5</w:t>
      </w:r>
      <w:r w:rsidR="0000226C">
        <w:t xml:space="preserve"> of the Direction</w:t>
      </w:r>
      <w:r w:rsidR="0000226C" w:rsidRPr="00480F20">
        <w:t xml:space="preserve">. </w:t>
      </w:r>
    </w:p>
    <w:p w14:paraId="1CB86E30" w14:textId="7F761156" w:rsidR="00E77A82" w:rsidRDefault="00E3065B" w:rsidP="00A776A3">
      <w:pPr>
        <w:pStyle w:val="BodyText"/>
      </w:pPr>
      <w:r>
        <w:t xml:space="preserve">The Ombudsman </w:t>
      </w:r>
      <w:r w:rsidR="00B60493">
        <w:t xml:space="preserve">noted </w:t>
      </w:r>
      <w:r>
        <w:t xml:space="preserve">that if the final date of the complainant’s visa </w:t>
      </w:r>
      <w:r w:rsidR="00B60493">
        <w:t>was</w:t>
      </w:r>
      <w:r>
        <w:t xml:space="preserve"> included in </w:t>
      </w:r>
      <w:r w:rsidR="00B60493">
        <w:t xml:space="preserve">the </w:t>
      </w:r>
      <w:r>
        <w:t>calculation</w:t>
      </w:r>
      <w:r w:rsidR="00B60493">
        <w:t xml:space="preserve"> of numeric days in a two</w:t>
      </w:r>
      <w:r w:rsidR="00A46299">
        <w:t>-</w:t>
      </w:r>
      <w:r w:rsidR="00B60493">
        <w:t>year period</w:t>
      </w:r>
      <w:r>
        <w:t xml:space="preserve">, </w:t>
      </w:r>
      <w:r w:rsidR="005D49A0">
        <w:t xml:space="preserve">then they would have met the </w:t>
      </w:r>
      <w:r w:rsidR="005D49A0" w:rsidRPr="005D49A0">
        <w:rPr>
          <w:rStyle w:val="Italics"/>
        </w:rPr>
        <w:t>‘two</w:t>
      </w:r>
      <w:r w:rsidR="00A46299">
        <w:rPr>
          <w:rStyle w:val="Italics"/>
        </w:rPr>
        <w:t>-</w:t>
      </w:r>
      <w:r w:rsidR="005D49A0" w:rsidRPr="005D49A0">
        <w:rPr>
          <w:rStyle w:val="Italics"/>
        </w:rPr>
        <w:t>year’</w:t>
      </w:r>
      <w:r>
        <w:t xml:space="preserve"> time criteria</w:t>
      </w:r>
      <w:r w:rsidR="00B60493">
        <w:t xml:space="preserve"> under the Direction</w:t>
      </w:r>
      <w:r w:rsidR="0000226C">
        <w:t>. The first year of eligibilit</w:t>
      </w:r>
      <w:r>
        <w:t>y started on 1 March 2016 on their</w:t>
      </w:r>
      <w:r w:rsidR="0000226C">
        <w:t xml:space="preserve"> arrival in New Zealand, and ended on 28 February 2017. The second year started on 1 March 2017 and ended on 28 February 2018 – a total of 730 days and equal to </w:t>
      </w:r>
      <w:r w:rsidR="0000226C" w:rsidRPr="003261FE">
        <w:rPr>
          <w:rStyle w:val="Italics"/>
        </w:rPr>
        <w:t>‘two years’</w:t>
      </w:r>
      <w:r w:rsidR="0000226C">
        <w:t>.</w:t>
      </w:r>
      <w:r w:rsidR="00B60493">
        <w:t xml:space="preserve"> </w:t>
      </w:r>
    </w:p>
    <w:p w14:paraId="6A67F0CA" w14:textId="77777777" w:rsidR="00E77A82" w:rsidRDefault="00E77A82" w:rsidP="00E77A82">
      <w:pPr>
        <w:pStyle w:val="Heading1"/>
      </w:pPr>
      <w:r>
        <w:t>Outcome</w:t>
      </w:r>
    </w:p>
    <w:p w14:paraId="308D6EEB" w14:textId="0B5A53CC" w:rsidR="00E77A82" w:rsidRDefault="0000226C" w:rsidP="00E77A82">
      <w:pPr>
        <w:pStyle w:val="BodyText"/>
      </w:pPr>
      <w:r>
        <w:t xml:space="preserve">The Ombudsman formed the opinion that the Ministry’s determination that the complainant was not eligible for </w:t>
      </w:r>
      <w:r w:rsidRPr="00051C15">
        <w:t xml:space="preserve">publicly funded healthcare was </w:t>
      </w:r>
      <w:r>
        <w:t>wrong</w:t>
      </w:r>
      <w:r w:rsidRPr="00051C15">
        <w:t xml:space="preserve">, </w:t>
      </w:r>
      <w:r>
        <w:t>because of</w:t>
      </w:r>
      <w:r w:rsidRPr="00051C15">
        <w:t xml:space="preserve"> </w:t>
      </w:r>
      <w:r>
        <w:t>the way it calculated the time criteria</w:t>
      </w:r>
      <w:r w:rsidRPr="00051C15">
        <w:t xml:space="preserve"> </w:t>
      </w:r>
      <w:r>
        <w:t>required by clause B5(b)(ii) of the Direction</w:t>
      </w:r>
      <w:r w:rsidRPr="00051C15">
        <w:t>.</w:t>
      </w:r>
      <w:r w:rsidR="00C945FA">
        <w:t xml:space="preserve"> The Ombudsman recommended that the Ministry:</w:t>
      </w:r>
    </w:p>
    <w:p w14:paraId="3CE4F8AD" w14:textId="7F2A7C39" w:rsidR="00C945FA" w:rsidRDefault="00C945FA" w:rsidP="00C945FA">
      <w:pPr>
        <w:pStyle w:val="Number1"/>
        <w:numPr>
          <w:ilvl w:val="0"/>
          <w:numId w:val="31"/>
        </w:numPr>
      </w:pPr>
      <w:r>
        <w:t>apologise to the complainant for its incorrect determination of their eligibility and th</w:t>
      </w:r>
      <w:r w:rsidR="00C56972">
        <w:t>e impact of this decision on them</w:t>
      </w:r>
      <w:r>
        <w:t>;</w:t>
      </w:r>
    </w:p>
    <w:p w14:paraId="3724CD61" w14:textId="77777777" w:rsidR="00C945FA" w:rsidRDefault="00C945FA" w:rsidP="00C945FA">
      <w:pPr>
        <w:pStyle w:val="Number1"/>
        <w:numPr>
          <w:ilvl w:val="0"/>
          <w:numId w:val="31"/>
        </w:numPr>
      </w:pPr>
      <w:r>
        <w:t>work with the DHB to:</w:t>
      </w:r>
    </w:p>
    <w:p w14:paraId="19E7D57C" w14:textId="70D7DAA1" w:rsidR="00C945FA" w:rsidRDefault="00C945FA" w:rsidP="00C945FA">
      <w:pPr>
        <w:pStyle w:val="Number2"/>
      </w:pPr>
      <w:r>
        <w:t>facilitate a lump</w:t>
      </w:r>
      <w:r w:rsidR="006A42CC">
        <w:t xml:space="preserve"> </w:t>
      </w:r>
      <w:r>
        <w:t>sum refund of the money already paid in respect of the relevant treatment.</w:t>
      </w:r>
      <w:r w:rsidR="00AF493F">
        <w:rPr>
          <w:rStyle w:val="FootnoteReference"/>
        </w:rPr>
        <w:footnoteReference w:id="4"/>
      </w:r>
      <w:r>
        <w:t xml:space="preserve"> This was on the basis that, if the Ministry had correctly calculated the </w:t>
      </w:r>
      <w:r w:rsidR="00C56972">
        <w:t>time criteria at the time of their</w:t>
      </w:r>
      <w:r>
        <w:t xml:space="preserve"> application, the complainant would have been eligible for publicly funded healthcare and would not have incurred the debt; and</w:t>
      </w:r>
    </w:p>
    <w:p w14:paraId="6DF5C851" w14:textId="24383627" w:rsidR="00C945FA" w:rsidRDefault="009E73F3" w:rsidP="00C945FA">
      <w:pPr>
        <w:pStyle w:val="Number2"/>
      </w:pPr>
      <w:r>
        <w:t>ensure any remaining debt owed</w:t>
      </w:r>
      <w:r w:rsidR="00C945FA">
        <w:t xml:space="preserve"> in respect of the relevant treatment was cancelled.</w:t>
      </w:r>
    </w:p>
    <w:p w14:paraId="0912B634" w14:textId="5514488B" w:rsidR="00C945FA" w:rsidRDefault="00C945FA" w:rsidP="00C945FA">
      <w:pPr>
        <w:pStyle w:val="Number1"/>
      </w:pPr>
      <w:r>
        <w:t xml:space="preserve">adopt </w:t>
      </w:r>
      <w:r w:rsidR="00B60493">
        <w:t>a numeric</w:t>
      </w:r>
      <w:r>
        <w:t xml:space="preserve"> interpretation of what constitutes a </w:t>
      </w:r>
      <w:r w:rsidRPr="00EC14ED">
        <w:rPr>
          <w:rStyle w:val="Quotationwithinthesentence"/>
        </w:rPr>
        <w:t>‘year’</w:t>
      </w:r>
      <w:r w:rsidRPr="00EC14ED">
        <w:t>, and include the final day of an applicant’s work visa in all future eligibility cases</w:t>
      </w:r>
      <w:r>
        <w:t xml:space="preserve"> considered under the Direction;</w:t>
      </w:r>
    </w:p>
    <w:p w14:paraId="2DE49639" w14:textId="77777777" w:rsidR="00C945FA" w:rsidRDefault="00C945FA" w:rsidP="00C945FA">
      <w:pPr>
        <w:pStyle w:val="Number1"/>
      </w:pPr>
      <w:r>
        <w:t>update its website guidance, and its guidance to DHBs</w:t>
      </w:r>
      <w:r w:rsidR="00E3065B">
        <w:t xml:space="preserve"> </w:t>
      </w:r>
      <w:r>
        <w:t>and practitioners who are required to apply the Direction;</w:t>
      </w:r>
    </w:p>
    <w:p w14:paraId="3563DE6D" w14:textId="78565235" w:rsidR="00C945FA" w:rsidRDefault="00C945FA" w:rsidP="00C945FA">
      <w:pPr>
        <w:pStyle w:val="Number1"/>
      </w:pPr>
      <w:r>
        <w:t xml:space="preserve">publish a statement on its website inviting </w:t>
      </w:r>
      <w:r w:rsidR="00A46299">
        <w:t xml:space="preserve">similarly </w:t>
      </w:r>
      <w:r>
        <w:t>affected parties to have their eligibility determination reconsidered, where relevant.</w:t>
      </w:r>
    </w:p>
    <w:p w14:paraId="5358CDA5" w14:textId="4A7C35AC" w:rsidR="002722D4" w:rsidRDefault="00C945FA" w:rsidP="00E77A82">
      <w:pPr>
        <w:pStyle w:val="BodyText"/>
      </w:pPr>
      <w:r>
        <w:t>The Ministry accepted the Ombudsman’s opinion and recommendations.</w:t>
      </w:r>
      <w:r w:rsidR="002A5AC2">
        <w:t xml:space="preserve"> The Ministry implemented the recommendations,</w:t>
      </w:r>
      <w:r w:rsidR="00320926">
        <w:t xml:space="preserve"> in conju</w:t>
      </w:r>
      <w:r w:rsidR="002A5AC2">
        <w:t>n</w:t>
      </w:r>
      <w:r w:rsidR="00320926">
        <w:t>ction with</w:t>
      </w:r>
      <w:r w:rsidR="00C44628">
        <w:t xml:space="preserve"> Health NZ. </w:t>
      </w:r>
    </w:p>
    <w:p w14:paraId="7E1CCD2E" w14:textId="77777777"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9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28630" w14:textId="77777777" w:rsidR="00612AB6" w:rsidRPr="00D45126" w:rsidRDefault="00612AB6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1E088D71" w14:textId="77777777" w:rsidR="00612AB6" w:rsidRPr="00D45126" w:rsidRDefault="00612AB6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75641D52" w14:textId="77777777" w:rsidR="00612AB6" w:rsidRDefault="00612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F5909" w14:textId="77777777" w:rsidR="0064030D" w:rsidRDefault="00640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8EF9" w14:textId="77777777" w:rsidR="008A593E" w:rsidRPr="0059155D" w:rsidRDefault="008A593E" w:rsidP="00B81F45">
    <w:pPr>
      <w:pStyle w:val="Footerline"/>
    </w:pPr>
  </w:p>
  <w:p w14:paraId="170FBE33" w14:textId="77777777" w:rsidR="008A593E" w:rsidRPr="0059155D" w:rsidRDefault="008A593E" w:rsidP="00B81F45">
    <w:pPr>
      <w:pStyle w:val="Footerline"/>
    </w:pPr>
  </w:p>
  <w:p w14:paraId="520078E7" w14:textId="5E3D001D" w:rsidR="008A593E" w:rsidRPr="005533D8" w:rsidRDefault="00612AB6" w:rsidP="00B81F45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D56281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7A787A">
      <w:rPr>
        <w:rStyle w:val="PageNumber"/>
        <w:noProof/>
      </w:rPr>
      <w:t>4</w:t>
    </w:r>
    <w:r w:rsidR="008A593E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79FB" w14:textId="77777777" w:rsidR="008A593E" w:rsidRPr="0059155D" w:rsidRDefault="008A593E" w:rsidP="00AA3322">
    <w:pPr>
      <w:pStyle w:val="Footerline"/>
    </w:pPr>
  </w:p>
  <w:p w14:paraId="39D18B58" w14:textId="77777777" w:rsidR="008A593E" w:rsidRPr="0059155D" w:rsidRDefault="008A593E" w:rsidP="00AA3322">
    <w:pPr>
      <w:pStyle w:val="Footerline"/>
    </w:pPr>
  </w:p>
  <w:p w14:paraId="36DB7DCB" w14:textId="3DED8FAE" w:rsidR="008A593E" w:rsidRPr="005533D8" w:rsidRDefault="00612AB6" w:rsidP="00AA3322">
    <w:pPr>
      <w:pStyle w:val="Footer"/>
    </w:pPr>
    <w:r>
      <w:fldChar w:fldCharType="begin"/>
    </w:r>
    <w:r>
      <w:instrText xml:space="preserve"> DOCVARIABLE  dvShortText </w:instrText>
    </w:r>
    <w:r>
      <w:fldChar w:fldCharType="separate"/>
    </w:r>
    <w:r w:rsidR="00D56281">
      <w:t>Case note |</w:t>
    </w:r>
    <w:r>
      <w:fldChar w:fldCharType="end"/>
    </w:r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64BC" w14:textId="77777777" w:rsidR="00612AB6" w:rsidRPr="00D45126" w:rsidRDefault="00612AB6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3610389E" w14:textId="77777777" w:rsidR="00612AB6" w:rsidRPr="00C14083" w:rsidRDefault="00612AB6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136587C8" w14:textId="77777777" w:rsidR="00612AB6" w:rsidRDefault="00612AB6">
      <w:pPr>
        <w:spacing w:after="0" w:line="240" w:lineRule="auto"/>
      </w:pPr>
    </w:p>
  </w:footnote>
  <w:footnote w:id="2">
    <w:p w14:paraId="580B3565" w14:textId="77777777" w:rsidR="00C04722" w:rsidRDefault="00C04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District Health Boards were replaced by Te Whatu Ora – Health New Zealand on 1 July 2022.</w:t>
      </w:r>
    </w:p>
  </w:footnote>
  <w:footnote w:id="3">
    <w:p w14:paraId="410C3DC1" w14:textId="77777777" w:rsidR="0000226C" w:rsidRDefault="0000226C" w:rsidP="0000226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hyperlink r:id="rId1" w:history="1">
        <w:r>
          <w:rPr>
            <w:rStyle w:val="Hyperlink"/>
          </w:rPr>
          <w:t>Check your visa conditions | Immigration New Zealand</w:t>
        </w:r>
      </w:hyperlink>
    </w:p>
  </w:footnote>
  <w:footnote w:id="4">
    <w:p w14:paraId="07B9E982" w14:textId="4689D480" w:rsidR="00AF493F" w:rsidRDefault="00AF493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Approximately $15,000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9F26C" w14:textId="77777777" w:rsidR="0064030D" w:rsidRDefault="00640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EBB0" w14:textId="77777777"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2563AA03" w14:textId="77777777" w:rsidR="008A593E" w:rsidRPr="00661EC9" w:rsidRDefault="008A593E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29768" w14:textId="77777777"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7D2391D5" wp14:editId="589E9D73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7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8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9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1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2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3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5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6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9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1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3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5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9"/>
  </w:num>
  <w:num w:numId="2">
    <w:abstractNumId w:val="5"/>
  </w:num>
  <w:num w:numId="3">
    <w:abstractNumId w:val="1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17"/>
  </w:num>
  <w:num w:numId="9">
    <w:abstractNumId w:val="8"/>
  </w:num>
  <w:num w:numId="10">
    <w:abstractNumId w:val="11"/>
  </w:num>
  <w:num w:numId="11">
    <w:abstractNumId w:val="24"/>
  </w:num>
  <w:num w:numId="12">
    <w:abstractNumId w:val="12"/>
  </w:num>
  <w:num w:numId="13">
    <w:abstractNumId w:val="7"/>
  </w:num>
  <w:num w:numId="14">
    <w:abstractNumId w:val="10"/>
  </w:num>
  <w:num w:numId="15">
    <w:abstractNumId w:val="6"/>
  </w:num>
  <w:num w:numId="16">
    <w:abstractNumId w:val="22"/>
  </w:num>
  <w:num w:numId="17">
    <w:abstractNumId w:val="18"/>
  </w:num>
  <w:num w:numId="18">
    <w:abstractNumId w:val="23"/>
  </w:num>
  <w:num w:numId="19">
    <w:abstractNumId w:val="15"/>
  </w:num>
  <w:num w:numId="20">
    <w:abstractNumId w:val="2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3"/>
  </w:num>
  <w:num w:numId="24">
    <w:abstractNumId w:val="14"/>
  </w:num>
  <w:num w:numId="25">
    <w:abstractNumId w:val="16"/>
  </w:num>
  <w:num w:numId="26">
    <w:abstractNumId w:val="7"/>
  </w:num>
  <w:num w:numId="27">
    <w:abstractNumId w:val="10"/>
  </w:num>
  <w:num w:numId="28">
    <w:abstractNumId w:val="2"/>
  </w:num>
  <w:num w:numId="29">
    <w:abstractNumId w:val="1"/>
  </w:num>
  <w:num w:numId="30">
    <w:abstractNumId w:val="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 |"/>
    <w:docVar w:name="dvShortTextFrm" w:val="Case note"/>
    <w:docVar w:name="IsfirstTb" w:val="False"/>
    <w:docVar w:name="IsInTable" w:val="True"/>
    <w:docVar w:name="OOTOTemplate" w:val="OOTO General\Case note.dotm"/>
  </w:docVars>
  <w:rsids>
    <w:rsidRoot w:val="00727207"/>
    <w:rsid w:val="00000AEE"/>
    <w:rsid w:val="0000164C"/>
    <w:rsid w:val="0000226C"/>
    <w:rsid w:val="00002E2B"/>
    <w:rsid w:val="000048D2"/>
    <w:rsid w:val="0000771B"/>
    <w:rsid w:val="00011074"/>
    <w:rsid w:val="00013791"/>
    <w:rsid w:val="00021382"/>
    <w:rsid w:val="00024F53"/>
    <w:rsid w:val="00026A3B"/>
    <w:rsid w:val="000273F0"/>
    <w:rsid w:val="000328E9"/>
    <w:rsid w:val="00032A75"/>
    <w:rsid w:val="00035821"/>
    <w:rsid w:val="00040F52"/>
    <w:rsid w:val="00041615"/>
    <w:rsid w:val="000419C3"/>
    <w:rsid w:val="00045FD7"/>
    <w:rsid w:val="00046B63"/>
    <w:rsid w:val="00047F5F"/>
    <w:rsid w:val="00050123"/>
    <w:rsid w:val="00053114"/>
    <w:rsid w:val="00057C4D"/>
    <w:rsid w:val="00064CFD"/>
    <w:rsid w:val="00065881"/>
    <w:rsid w:val="000775C9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8DA"/>
    <w:rsid w:val="000A39DB"/>
    <w:rsid w:val="000A4639"/>
    <w:rsid w:val="000A56A9"/>
    <w:rsid w:val="000B43C3"/>
    <w:rsid w:val="000B60ED"/>
    <w:rsid w:val="000C2A01"/>
    <w:rsid w:val="000C487C"/>
    <w:rsid w:val="000D3B26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092D"/>
    <w:rsid w:val="00123968"/>
    <w:rsid w:val="001275B2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AB4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A6787"/>
    <w:rsid w:val="001B1DCE"/>
    <w:rsid w:val="001B2F94"/>
    <w:rsid w:val="001B31CF"/>
    <w:rsid w:val="001B688C"/>
    <w:rsid w:val="001B7EC1"/>
    <w:rsid w:val="001C12AF"/>
    <w:rsid w:val="001C7F14"/>
    <w:rsid w:val="001D584D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6655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5ACC"/>
    <w:rsid w:val="00251056"/>
    <w:rsid w:val="00251456"/>
    <w:rsid w:val="00253466"/>
    <w:rsid w:val="002539A9"/>
    <w:rsid w:val="0025558A"/>
    <w:rsid w:val="00257DA0"/>
    <w:rsid w:val="00262294"/>
    <w:rsid w:val="00263B2F"/>
    <w:rsid w:val="00270EC8"/>
    <w:rsid w:val="0027214C"/>
    <w:rsid w:val="002722D4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A1D84"/>
    <w:rsid w:val="002A5AC2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0E9B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510A"/>
    <w:rsid w:val="002F7D54"/>
    <w:rsid w:val="003002CA"/>
    <w:rsid w:val="0030460D"/>
    <w:rsid w:val="0030675E"/>
    <w:rsid w:val="00307592"/>
    <w:rsid w:val="00313ABD"/>
    <w:rsid w:val="003160E5"/>
    <w:rsid w:val="00316CF6"/>
    <w:rsid w:val="00317D8B"/>
    <w:rsid w:val="00320926"/>
    <w:rsid w:val="00320E2B"/>
    <w:rsid w:val="00321801"/>
    <w:rsid w:val="00321D36"/>
    <w:rsid w:val="003374ED"/>
    <w:rsid w:val="00342CEE"/>
    <w:rsid w:val="00347507"/>
    <w:rsid w:val="003516B6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2DC1"/>
    <w:rsid w:val="003832EA"/>
    <w:rsid w:val="00383460"/>
    <w:rsid w:val="00385BCC"/>
    <w:rsid w:val="00385F42"/>
    <w:rsid w:val="00396770"/>
    <w:rsid w:val="003967AB"/>
    <w:rsid w:val="003A1465"/>
    <w:rsid w:val="003A4395"/>
    <w:rsid w:val="003A4539"/>
    <w:rsid w:val="003A4EB3"/>
    <w:rsid w:val="003B46E7"/>
    <w:rsid w:val="003C1714"/>
    <w:rsid w:val="003C2059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7B31"/>
    <w:rsid w:val="0040041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F89"/>
    <w:rsid w:val="00442610"/>
    <w:rsid w:val="004426B5"/>
    <w:rsid w:val="00444754"/>
    <w:rsid w:val="00452CEF"/>
    <w:rsid w:val="00462213"/>
    <w:rsid w:val="00464DEF"/>
    <w:rsid w:val="00465438"/>
    <w:rsid w:val="00466B45"/>
    <w:rsid w:val="00467645"/>
    <w:rsid w:val="004752AF"/>
    <w:rsid w:val="00477B53"/>
    <w:rsid w:val="00485E2C"/>
    <w:rsid w:val="004873B4"/>
    <w:rsid w:val="004903E8"/>
    <w:rsid w:val="00491852"/>
    <w:rsid w:val="0049294C"/>
    <w:rsid w:val="004938CA"/>
    <w:rsid w:val="00493EE8"/>
    <w:rsid w:val="00494124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3758"/>
    <w:rsid w:val="004C748E"/>
    <w:rsid w:val="004D3A9D"/>
    <w:rsid w:val="004D4947"/>
    <w:rsid w:val="004D4CCB"/>
    <w:rsid w:val="004D4F57"/>
    <w:rsid w:val="004D6360"/>
    <w:rsid w:val="004E37DF"/>
    <w:rsid w:val="004E4498"/>
    <w:rsid w:val="004E77BA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244B0"/>
    <w:rsid w:val="0053285B"/>
    <w:rsid w:val="0053394E"/>
    <w:rsid w:val="005409E7"/>
    <w:rsid w:val="00541023"/>
    <w:rsid w:val="00546792"/>
    <w:rsid w:val="00554E50"/>
    <w:rsid w:val="00554FCD"/>
    <w:rsid w:val="00561DA3"/>
    <w:rsid w:val="005661BE"/>
    <w:rsid w:val="005671A5"/>
    <w:rsid w:val="0056783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4DB4"/>
    <w:rsid w:val="005C76DD"/>
    <w:rsid w:val="005C7BA2"/>
    <w:rsid w:val="005D03D0"/>
    <w:rsid w:val="005D053D"/>
    <w:rsid w:val="005D49A0"/>
    <w:rsid w:val="005D525E"/>
    <w:rsid w:val="005D7DD6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604BDC"/>
    <w:rsid w:val="00606871"/>
    <w:rsid w:val="006077BF"/>
    <w:rsid w:val="00607EC0"/>
    <w:rsid w:val="0061020F"/>
    <w:rsid w:val="00610FD3"/>
    <w:rsid w:val="00611625"/>
    <w:rsid w:val="006120A8"/>
    <w:rsid w:val="00612AB6"/>
    <w:rsid w:val="00615CE0"/>
    <w:rsid w:val="00616CEE"/>
    <w:rsid w:val="00617F04"/>
    <w:rsid w:val="00621FD1"/>
    <w:rsid w:val="0062506B"/>
    <w:rsid w:val="006279D4"/>
    <w:rsid w:val="00627E11"/>
    <w:rsid w:val="00631B80"/>
    <w:rsid w:val="0064030D"/>
    <w:rsid w:val="00640FA7"/>
    <w:rsid w:val="00644A97"/>
    <w:rsid w:val="00644B46"/>
    <w:rsid w:val="0064708D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E32"/>
    <w:rsid w:val="00685B6A"/>
    <w:rsid w:val="00687159"/>
    <w:rsid w:val="00691335"/>
    <w:rsid w:val="006920D5"/>
    <w:rsid w:val="00697F10"/>
    <w:rsid w:val="006A05F7"/>
    <w:rsid w:val="006A12AA"/>
    <w:rsid w:val="006A1604"/>
    <w:rsid w:val="006A1E25"/>
    <w:rsid w:val="006A42CC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27207"/>
    <w:rsid w:val="0073150C"/>
    <w:rsid w:val="0073197D"/>
    <w:rsid w:val="00733DAC"/>
    <w:rsid w:val="00734E9C"/>
    <w:rsid w:val="007370C8"/>
    <w:rsid w:val="0073772C"/>
    <w:rsid w:val="00743E91"/>
    <w:rsid w:val="00753648"/>
    <w:rsid w:val="007539DA"/>
    <w:rsid w:val="00760461"/>
    <w:rsid w:val="00763D2B"/>
    <w:rsid w:val="00764619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A0E41"/>
    <w:rsid w:val="007A395C"/>
    <w:rsid w:val="007A6586"/>
    <w:rsid w:val="007A6F0A"/>
    <w:rsid w:val="007A7020"/>
    <w:rsid w:val="007A74A0"/>
    <w:rsid w:val="007A787A"/>
    <w:rsid w:val="007B4F3B"/>
    <w:rsid w:val="007B755F"/>
    <w:rsid w:val="007C3BDA"/>
    <w:rsid w:val="007C5CD4"/>
    <w:rsid w:val="007C679B"/>
    <w:rsid w:val="007C7995"/>
    <w:rsid w:val="007D118B"/>
    <w:rsid w:val="007D3C1B"/>
    <w:rsid w:val="007D4081"/>
    <w:rsid w:val="007D5753"/>
    <w:rsid w:val="007D76FD"/>
    <w:rsid w:val="007E01D2"/>
    <w:rsid w:val="007E1397"/>
    <w:rsid w:val="007E58A0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60B01"/>
    <w:rsid w:val="00861C91"/>
    <w:rsid w:val="00867E97"/>
    <w:rsid w:val="00872924"/>
    <w:rsid w:val="00877CF4"/>
    <w:rsid w:val="0088108A"/>
    <w:rsid w:val="008841B5"/>
    <w:rsid w:val="00884716"/>
    <w:rsid w:val="00887AA8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218E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82B"/>
    <w:rsid w:val="00936C1D"/>
    <w:rsid w:val="009401E4"/>
    <w:rsid w:val="00942420"/>
    <w:rsid w:val="009438B5"/>
    <w:rsid w:val="0094461F"/>
    <w:rsid w:val="00944B48"/>
    <w:rsid w:val="00946D1C"/>
    <w:rsid w:val="009639D4"/>
    <w:rsid w:val="009649E9"/>
    <w:rsid w:val="009673FC"/>
    <w:rsid w:val="00967D11"/>
    <w:rsid w:val="00970955"/>
    <w:rsid w:val="00971749"/>
    <w:rsid w:val="00971D0C"/>
    <w:rsid w:val="00974ABE"/>
    <w:rsid w:val="009779D9"/>
    <w:rsid w:val="00981DFE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C5947"/>
    <w:rsid w:val="009D6259"/>
    <w:rsid w:val="009E2446"/>
    <w:rsid w:val="009E3199"/>
    <w:rsid w:val="009E73F3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91A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6299"/>
    <w:rsid w:val="00A47F79"/>
    <w:rsid w:val="00A511A1"/>
    <w:rsid w:val="00A52EBD"/>
    <w:rsid w:val="00A53C05"/>
    <w:rsid w:val="00A5469F"/>
    <w:rsid w:val="00A60F61"/>
    <w:rsid w:val="00A6506D"/>
    <w:rsid w:val="00A6655D"/>
    <w:rsid w:val="00A66569"/>
    <w:rsid w:val="00A7093F"/>
    <w:rsid w:val="00A76E5D"/>
    <w:rsid w:val="00A776A3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AF493F"/>
    <w:rsid w:val="00B0060F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1866"/>
    <w:rsid w:val="00B2480C"/>
    <w:rsid w:val="00B3033C"/>
    <w:rsid w:val="00B31C12"/>
    <w:rsid w:val="00B32513"/>
    <w:rsid w:val="00B331A2"/>
    <w:rsid w:val="00B3509C"/>
    <w:rsid w:val="00B35C03"/>
    <w:rsid w:val="00B35DFA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0493"/>
    <w:rsid w:val="00B62B24"/>
    <w:rsid w:val="00B634ED"/>
    <w:rsid w:val="00B641D2"/>
    <w:rsid w:val="00B66DA1"/>
    <w:rsid w:val="00B66DB1"/>
    <w:rsid w:val="00B7053B"/>
    <w:rsid w:val="00B732D1"/>
    <w:rsid w:val="00B73CB0"/>
    <w:rsid w:val="00B7575F"/>
    <w:rsid w:val="00B76433"/>
    <w:rsid w:val="00B816FB"/>
    <w:rsid w:val="00B81F45"/>
    <w:rsid w:val="00B820D3"/>
    <w:rsid w:val="00B8255E"/>
    <w:rsid w:val="00B84178"/>
    <w:rsid w:val="00B923C1"/>
    <w:rsid w:val="00B92D10"/>
    <w:rsid w:val="00B943B4"/>
    <w:rsid w:val="00B9569C"/>
    <w:rsid w:val="00B96F41"/>
    <w:rsid w:val="00BA1724"/>
    <w:rsid w:val="00BA1A63"/>
    <w:rsid w:val="00BA6532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04722"/>
    <w:rsid w:val="00C12935"/>
    <w:rsid w:val="00C14083"/>
    <w:rsid w:val="00C1755D"/>
    <w:rsid w:val="00C217A8"/>
    <w:rsid w:val="00C21D0B"/>
    <w:rsid w:val="00C21F16"/>
    <w:rsid w:val="00C25130"/>
    <w:rsid w:val="00C25BB9"/>
    <w:rsid w:val="00C261B9"/>
    <w:rsid w:val="00C3029B"/>
    <w:rsid w:val="00C33861"/>
    <w:rsid w:val="00C35659"/>
    <w:rsid w:val="00C4007B"/>
    <w:rsid w:val="00C4225E"/>
    <w:rsid w:val="00C44628"/>
    <w:rsid w:val="00C45B15"/>
    <w:rsid w:val="00C46E1D"/>
    <w:rsid w:val="00C521E5"/>
    <w:rsid w:val="00C56640"/>
    <w:rsid w:val="00C56972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744C"/>
    <w:rsid w:val="00C80876"/>
    <w:rsid w:val="00C81873"/>
    <w:rsid w:val="00C82828"/>
    <w:rsid w:val="00C8417E"/>
    <w:rsid w:val="00C87D78"/>
    <w:rsid w:val="00C90823"/>
    <w:rsid w:val="00C91EA8"/>
    <w:rsid w:val="00C945FA"/>
    <w:rsid w:val="00CA4D71"/>
    <w:rsid w:val="00CA6C0F"/>
    <w:rsid w:val="00CB40CA"/>
    <w:rsid w:val="00CC0EDA"/>
    <w:rsid w:val="00CC2157"/>
    <w:rsid w:val="00CC2369"/>
    <w:rsid w:val="00CC3237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56281"/>
    <w:rsid w:val="00D61F80"/>
    <w:rsid w:val="00D663CA"/>
    <w:rsid w:val="00D674E8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45D8"/>
    <w:rsid w:val="00DA57CD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6FC1"/>
    <w:rsid w:val="00E3065B"/>
    <w:rsid w:val="00E30785"/>
    <w:rsid w:val="00E324A7"/>
    <w:rsid w:val="00E34AE0"/>
    <w:rsid w:val="00E3581D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087"/>
    <w:rsid w:val="00ED0181"/>
    <w:rsid w:val="00ED06D1"/>
    <w:rsid w:val="00ED4C10"/>
    <w:rsid w:val="00EE15A1"/>
    <w:rsid w:val="00EE5FF3"/>
    <w:rsid w:val="00EF0BE7"/>
    <w:rsid w:val="00EF13A7"/>
    <w:rsid w:val="00EF1DF3"/>
    <w:rsid w:val="00EF446F"/>
    <w:rsid w:val="00EF4786"/>
    <w:rsid w:val="00EF4E61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720D6"/>
    <w:rsid w:val="00F75E07"/>
    <w:rsid w:val="00F77137"/>
    <w:rsid w:val="00F777C7"/>
    <w:rsid w:val="00F8132B"/>
    <w:rsid w:val="00F83722"/>
    <w:rsid w:val="00F90E72"/>
    <w:rsid w:val="00F922BB"/>
    <w:rsid w:val="00F93B23"/>
    <w:rsid w:val="00F95E8E"/>
    <w:rsid w:val="00F96393"/>
    <w:rsid w:val="00F96FEC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99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7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2"/>
    <w:lsdException w:name="Strong" w:semiHidden="1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99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qFormat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rriam-webster.com/dictionary/ye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tion.govt.nz/regulation/public/1989/0064/latest/DLM129834.html?src=qs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migration.govt.nz/new-zealand-visas/already-have-a-visa/your-visa-conditions/check-your-visas-condition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E445-D6AC-4659-B1C4-6791BBE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5938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Background</vt:lpstr>
      <vt:lpstr>Investigation</vt:lpstr>
      <vt:lpstr>Outcome</vt:lpstr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2022-12-18T21:16:00Z</dcterms:created>
  <dcterms:modified xsi:type="dcterms:W3CDTF">2022-12-18T21:16:00Z</dcterms:modified>
  <cp:contentStatus/>
</cp:coreProperties>
</file>